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A1C" w14:textId="77777777" w:rsidR="007065E9" w:rsidRDefault="00794DD3" w:rsidP="008F737F">
      <w:pPr>
        <w:rPr>
          <w:b/>
          <w:sz w:val="40"/>
          <w:szCs w:val="40"/>
          <w:lang w:eastAsia="en-GB"/>
        </w:rPr>
      </w:pPr>
      <w:r w:rsidRPr="3445EE9D">
        <w:rPr>
          <w:b/>
          <w:sz w:val="40"/>
          <w:szCs w:val="40"/>
          <w:lang w:eastAsia="en-GB"/>
        </w:rPr>
        <w:t>Delivering Better Services</w:t>
      </w:r>
      <w:r w:rsidR="008F6811">
        <w:rPr>
          <w:b/>
          <w:sz w:val="40"/>
          <w:szCs w:val="40"/>
          <w:lang w:eastAsia="en-GB"/>
        </w:rPr>
        <w:tab/>
      </w:r>
      <w:r w:rsidR="008F6811">
        <w:rPr>
          <w:b/>
          <w:sz w:val="40"/>
          <w:szCs w:val="40"/>
          <w:lang w:eastAsia="en-GB"/>
        </w:rPr>
        <w:tab/>
      </w:r>
      <w:r w:rsidR="008F6811">
        <w:rPr>
          <w:b/>
          <w:sz w:val="40"/>
          <w:szCs w:val="40"/>
          <w:lang w:eastAsia="en-GB"/>
        </w:rPr>
        <w:tab/>
      </w:r>
      <w:r w:rsidR="008F6811">
        <w:rPr>
          <w:b/>
          <w:sz w:val="40"/>
          <w:szCs w:val="40"/>
          <w:lang w:eastAsia="en-GB"/>
        </w:rPr>
        <w:tab/>
      </w:r>
      <w:r w:rsidR="008F6811">
        <w:rPr>
          <w:b/>
          <w:sz w:val="40"/>
          <w:szCs w:val="40"/>
          <w:lang w:eastAsia="en-GB"/>
        </w:rPr>
        <w:tab/>
      </w:r>
    </w:p>
    <w:p w14:paraId="4AB79659" w14:textId="55476907" w:rsidR="00794DD3" w:rsidRPr="00517843" w:rsidRDefault="00794DD3" w:rsidP="008F737F">
      <w:pPr>
        <w:rPr>
          <w:rFonts w:eastAsiaTheme="minorHAnsi"/>
          <w:i/>
        </w:rPr>
      </w:pPr>
      <w:r w:rsidRPr="00517843">
        <w:rPr>
          <w:rFonts w:eastAsiaTheme="minorHAnsi"/>
          <w:i/>
        </w:rPr>
        <w:t xml:space="preserve">Key for performance: </w:t>
      </w:r>
    </w:p>
    <w:tbl>
      <w:tblPr>
        <w:tblW w:w="13951" w:type="dxa"/>
        <w:jc w:val="right"/>
        <w:tblLook w:val="04A0" w:firstRow="1" w:lastRow="0" w:firstColumn="1" w:lastColumn="0" w:noHBand="0" w:noVBand="1"/>
      </w:tblPr>
      <w:tblGrid>
        <w:gridCol w:w="1447"/>
        <w:gridCol w:w="816"/>
        <w:gridCol w:w="1276"/>
        <w:gridCol w:w="348"/>
        <w:gridCol w:w="1070"/>
        <w:gridCol w:w="876"/>
        <w:gridCol w:w="134"/>
        <w:gridCol w:w="983"/>
        <w:gridCol w:w="1146"/>
        <w:gridCol w:w="1556"/>
        <w:gridCol w:w="1433"/>
        <w:gridCol w:w="1650"/>
        <w:gridCol w:w="1216"/>
      </w:tblGrid>
      <w:tr w:rsidR="00794DD3" w14:paraId="769D1B8F" w14:textId="77777777" w:rsidTr="00200DAA">
        <w:trPr>
          <w:gridAfter w:val="6"/>
          <w:wAfter w:w="7984" w:type="dxa"/>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00FBE36" w14:textId="77777777" w:rsidR="00794DD3" w:rsidRPr="00517843" w:rsidRDefault="00794DD3" w:rsidP="00027E42">
            <w:pPr>
              <w:jc w:val="center"/>
              <w:rPr>
                <w:rFonts w:cs="Arial"/>
                <w:i/>
                <w:iCs/>
                <w:color w:val="auto"/>
                <w:sz w:val="18"/>
                <w:szCs w:val="18"/>
              </w:rPr>
            </w:pPr>
            <w:r w:rsidRPr="00517843">
              <w:rPr>
                <w:rFonts w:cs="Arial"/>
                <w:i/>
                <w:iCs/>
                <w:color w:val="auto"/>
                <w:sz w:val="18"/>
                <w:szCs w:val="18"/>
              </w:rPr>
              <w:t>On track/good</w:t>
            </w:r>
          </w:p>
        </w:tc>
        <w:tc>
          <w:tcPr>
            <w:tcW w:w="2440" w:type="dxa"/>
            <w:gridSpan w:val="3"/>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700C3FA" w14:textId="77777777" w:rsidR="00794DD3" w:rsidRPr="00517843" w:rsidRDefault="00794DD3" w:rsidP="00027E42">
            <w:pPr>
              <w:jc w:val="center"/>
              <w:rPr>
                <w:rFonts w:cs="Arial"/>
                <w:i/>
                <w:iCs/>
                <w:color w:val="auto"/>
                <w:sz w:val="18"/>
                <w:szCs w:val="18"/>
              </w:rPr>
            </w:pPr>
            <w:r w:rsidRPr="00517843">
              <w:rPr>
                <w:rFonts w:cs="Arial"/>
                <w:i/>
                <w:iCs/>
                <w:color w:val="auto"/>
                <w:sz w:val="18"/>
                <w:szCs w:val="18"/>
              </w:rPr>
              <w:t>Slightly below desired level</w:t>
            </w:r>
          </w:p>
        </w:tc>
        <w:tc>
          <w:tcPr>
            <w:tcW w:w="2080" w:type="dxa"/>
            <w:gridSpan w:val="3"/>
            <w:tcBorders>
              <w:top w:val="nil"/>
              <w:left w:val="nil"/>
              <w:bottom w:val="single" w:sz="8" w:space="0" w:color="auto"/>
              <w:right w:val="single" w:sz="8" w:space="0" w:color="auto"/>
            </w:tcBorders>
            <w:shd w:val="clear" w:color="000000" w:fill="FF0000"/>
            <w:noWrap/>
            <w:vAlign w:val="center"/>
            <w:hideMark/>
          </w:tcPr>
          <w:p w14:paraId="736B4E05" w14:textId="77777777" w:rsidR="00794DD3" w:rsidRPr="00517843" w:rsidRDefault="00794DD3" w:rsidP="00027E42">
            <w:pPr>
              <w:jc w:val="center"/>
              <w:rPr>
                <w:rFonts w:cs="Arial"/>
                <w:i/>
                <w:color w:val="auto"/>
                <w:sz w:val="18"/>
                <w:szCs w:val="18"/>
              </w:rPr>
            </w:pPr>
            <w:r w:rsidRPr="00517843">
              <w:rPr>
                <w:rFonts w:cs="Arial"/>
                <w:i/>
                <w:color w:val="FFFFFF" w:themeColor="background1"/>
                <w:sz w:val="18"/>
                <w:szCs w:val="18"/>
              </w:rPr>
              <w:t>Requires improvement</w:t>
            </w:r>
          </w:p>
        </w:tc>
      </w:tr>
      <w:tr w:rsidR="00794DD3" w14:paraId="45A0736E"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578503A7" w14:textId="77777777" w:rsidR="00794DD3" w:rsidRPr="00517843" w:rsidRDefault="00794DD3" w:rsidP="00027E42">
            <w:pPr>
              <w:pStyle w:val="NoSpacing"/>
              <w:jc w:val="center"/>
              <w:rPr>
                <w:rFonts w:ascii="Arial" w:hAnsi="Arial" w:cs="Arial"/>
                <w:b/>
              </w:rPr>
            </w:pPr>
            <w:r w:rsidRPr="0047796E">
              <w:rPr>
                <w:rFonts w:ascii="Arial" w:hAnsi="Arial" w:cs="Arial"/>
                <w:b/>
                <w:sz w:val="20"/>
                <w:szCs w:val="20"/>
              </w:rPr>
              <w:t>Performance Indicator</w:t>
            </w:r>
          </w:p>
        </w:tc>
        <w:tc>
          <w:tcPr>
            <w:tcW w:w="1276" w:type="dxa"/>
            <w:tcBorders>
              <w:top w:val="single" w:sz="4" w:space="0" w:color="auto"/>
              <w:left w:val="single" w:sz="4" w:space="0" w:color="auto"/>
              <w:bottom w:val="single" w:sz="4" w:space="0" w:color="auto"/>
              <w:right w:val="single" w:sz="4" w:space="0" w:color="auto"/>
            </w:tcBorders>
            <w:hideMark/>
          </w:tcPr>
          <w:p w14:paraId="24EA0A77" w14:textId="77777777" w:rsidR="00794DD3" w:rsidRPr="00517843" w:rsidRDefault="00794DD3" w:rsidP="00027E42">
            <w:pPr>
              <w:pStyle w:val="NoSpacing"/>
              <w:jc w:val="center"/>
              <w:rPr>
                <w:rFonts w:ascii="Arial" w:hAnsi="Arial" w:cs="Arial"/>
                <w:b/>
              </w:rPr>
            </w:pPr>
            <w:r w:rsidRPr="0047796E">
              <w:rPr>
                <w:rFonts w:ascii="Arial" w:hAnsi="Arial" w:cs="Arial"/>
                <w:b/>
                <w:sz w:val="20"/>
                <w:szCs w:val="20"/>
              </w:rPr>
              <w:t>Frequency</w:t>
            </w:r>
          </w:p>
        </w:tc>
        <w:tc>
          <w:tcPr>
            <w:tcW w:w="1418" w:type="dxa"/>
            <w:gridSpan w:val="2"/>
            <w:tcBorders>
              <w:top w:val="single" w:sz="4" w:space="0" w:color="auto"/>
              <w:left w:val="single" w:sz="4" w:space="0" w:color="auto"/>
              <w:bottom w:val="single" w:sz="4" w:space="0" w:color="auto"/>
              <w:right w:val="single" w:sz="4" w:space="0" w:color="auto"/>
            </w:tcBorders>
          </w:tcPr>
          <w:p w14:paraId="41A0472E" w14:textId="03348609" w:rsidR="00794DD3" w:rsidRPr="00517843" w:rsidRDefault="00794DD3" w:rsidP="00027E42">
            <w:pPr>
              <w:pStyle w:val="NoSpacing"/>
              <w:jc w:val="center"/>
              <w:rPr>
                <w:rFonts w:ascii="Arial" w:hAnsi="Arial" w:cs="Arial"/>
                <w:b/>
                <w:bCs/>
              </w:rPr>
            </w:pPr>
            <w:r w:rsidRPr="62385CB5">
              <w:rPr>
                <w:rFonts w:ascii="Arial" w:hAnsi="Arial" w:cs="Arial"/>
                <w:b/>
                <w:bCs/>
                <w:sz w:val="20"/>
                <w:szCs w:val="20"/>
              </w:rPr>
              <w:t>Directorate</w:t>
            </w:r>
          </w:p>
        </w:tc>
        <w:tc>
          <w:tcPr>
            <w:tcW w:w="876" w:type="dxa"/>
            <w:tcBorders>
              <w:top w:val="single" w:sz="4" w:space="0" w:color="auto"/>
              <w:left w:val="single" w:sz="4" w:space="0" w:color="auto"/>
              <w:bottom w:val="single" w:sz="4" w:space="0" w:color="auto"/>
              <w:right w:val="single" w:sz="4" w:space="0" w:color="auto"/>
            </w:tcBorders>
          </w:tcPr>
          <w:p w14:paraId="3CD78248" w14:textId="77777777" w:rsidR="00794DD3" w:rsidRPr="00517843" w:rsidRDefault="00794DD3" w:rsidP="00027E42">
            <w:pPr>
              <w:pStyle w:val="NoSpacing"/>
              <w:jc w:val="center"/>
              <w:rPr>
                <w:rFonts w:ascii="Arial" w:hAnsi="Arial" w:cs="Arial"/>
                <w:b/>
                <w:bCs/>
              </w:rPr>
            </w:pPr>
            <w:r w:rsidRPr="62385CB5">
              <w:rPr>
                <w:rFonts w:ascii="Arial" w:hAnsi="Arial" w:cs="Arial"/>
                <w:b/>
                <w:bCs/>
                <w:sz w:val="20"/>
                <w:szCs w:val="20"/>
              </w:rPr>
              <w:t>Good is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32ADE471" w14:textId="77777777" w:rsidR="00794DD3" w:rsidRPr="00517843" w:rsidRDefault="00794DD3" w:rsidP="00027E42">
            <w:pPr>
              <w:pStyle w:val="NoSpacing"/>
              <w:jc w:val="center"/>
              <w:rPr>
                <w:rFonts w:ascii="Arial" w:hAnsi="Arial" w:cs="Arial"/>
                <w:b/>
                <w:bCs/>
              </w:rPr>
            </w:pPr>
            <w:r w:rsidRPr="62385CB5">
              <w:rPr>
                <w:rFonts w:ascii="Arial" w:hAnsi="Arial" w:cs="Arial"/>
                <w:b/>
                <w:bCs/>
                <w:sz w:val="20"/>
                <w:szCs w:val="20"/>
              </w:rPr>
              <w:t>2019/20 Outturn</w:t>
            </w:r>
          </w:p>
        </w:tc>
        <w:tc>
          <w:tcPr>
            <w:tcW w:w="1146" w:type="dxa"/>
            <w:tcBorders>
              <w:top w:val="single" w:sz="4" w:space="0" w:color="auto"/>
              <w:left w:val="single" w:sz="4" w:space="0" w:color="auto"/>
              <w:bottom w:val="single" w:sz="4" w:space="0" w:color="auto"/>
              <w:right w:val="single" w:sz="4" w:space="0" w:color="auto"/>
            </w:tcBorders>
          </w:tcPr>
          <w:p w14:paraId="54218630" w14:textId="77777777" w:rsidR="00794DD3" w:rsidRPr="00517843" w:rsidRDefault="00794DD3" w:rsidP="00027E42">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556" w:type="dxa"/>
            <w:tcBorders>
              <w:top w:val="single" w:sz="4" w:space="0" w:color="auto"/>
              <w:left w:val="single" w:sz="4" w:space="0" w:color="auto"/>
              <w:bottom w:val="single" w:sz="4" w:space="0" w:color="auto"/>
              <w:right w:val="single" w:sz="4" w:space="0" w:color="auto"/>
            </w:tcBorders>
          </w:tcPr>
          <w:p w14:paraId="2525AFB0" w14:textId="77777777" w:rsidR="00794DD3" w:rsidRDefault="00794DD3" w:rsidP="00027E42">
            <w:pPr>
              <w:pStyle w:val="NoSpacing"/>
              <w:jc w:val="center"/>
              <w:rPr>
                <w:rFonts w:ascii="Arial" w:hAnsi="Arial" w:cs="Arial"/>
                <w:b/>
                <w:bCs/>
                <w:sz w:val="20"/>
                <w:szCs w:val="20"/>
              </w:rPr>
            </w:pPr>
            <w:r w:rsidRPr="62385CB5">
              <w:rPr>
                <w:rFonts w:ascii="Arial" w:hAnsi="Arial" w:cs="Arial"/>
                <w:b/>
                <w:bCs/>
                <w:sz w:val="20"/>
                <w:szCs w:val="20"/>
              </w:rPr>
              <w:t>Quarter 1 (April- June)</w:t>
            </w:r>
          </w:p>
          <w:p w14:paraId="31D1BB05" w14:textId="77777777" w:rsidR="00794DD3" w:rsidRDefault="00794DD3" w:rsidP="00027E42">
            <w:pPr>
              <w:pStyle w:val="NoSpacing"/>
              <w:jc w:val="center"/>
              <w:rPr>
                <w:rFonts w:ascii="Arial" w:hAnsi="Arial" w:cs="Arial"/>
                <w:b/>
                <w:bCs/>
                <w:sz w:val="20"/>
                <w:szCs w:val="20"/>
              </w:rPr>
            </w:pPr>
            <w:r w:rsidRPr="62385CB5">
              <w:rPr>
                <w:rFonts w:ascii="Arial" w:hAnsi="Arial" w:cs="Arial"/>
                <w:b/>
                <w:bCs/>
                <w:sz w:val="20"/>
                <w:szCs w:val="20"/>
              </w:rPr>
              <w:t>2021/22</w:t>
            </w:r>
          </w:p>
        </w:tc>
        <w:tc>
          <w:tcPr>
            <w:tcW w:w="1433" w:type="dxa"/>
            <w:tcBorders>
              <w:top w:val="single" w:sz="4" w:space="0" w:color="auto"/>
              <w:left w:val="single" w:sz="4" w:space="0" w:color="auto"/>
              <w:bottom w:val="single" w:sz="4" w:space="0" w:color="auto"/>
              <w:right w:val="single" w:sz="4" w:space="0" w:color="auto"/>
            </w:tcBorders>
          </w:tcPr>
          <w:p w14:paraId="56007E9D" w14:textId="77777777" w:rsidR="00794DD3" w:rsidRPr="62385CB5" w:rsidRDefault="00794DD3" w:rsidP="00027E42">
            <w:pPr>
              <w:pStyle w:val="NoSpacing"/>
              <w:jc w:val="center"/>
              <w:rPr>
                <w:rFonts w:ascii="Arial" w:hAnsi="Arial" w:cs="Arial"/>
                <w:b/>
                <w:bCs/>
                <w:sz w:val="20"/>
                <w:szCs w:val="20"/>
              </w:rPr>
            </w:pPr>
            <w:r>
              <w:rPr>
                <w:rFonts w:ascii="Arial" w:hAnsi="Arial" w:cs="Arial"/>
                <w:b/>
                <w:bCs/>
                <w:sz w:val="20"/>
                <w:szCs w:val="20"/>
              </w:rPr>
              <w:t>Quarter 2 (July – Sep) 2021/22</w:t>
            </w:r>
          </w:p>
        </w:tc>
        <w:tc>
          <w:tcPr>
            <w:tcW w:w="1650" w:type="dxa"/>
            <w:tcBorders>
              <w:top w:val="single" w:sz="4" w:space="0" w:color="auto"/>
              <w:left w:val="single" w:sz="4" w:space="0" w:color="auto"/>
              <w:bottom w:val="single" w:sz="4" w:space="0" w:color="auto"/>
              <w:right w:val="single" w:sz="4" w:space="0" w:color="auto"/>
            </w:tcBorders>
          </w:tcPr>
          <w:p w14:paraId="4D8CB612" w14:textId="0578B124" w:rsidR="159971D0" w:rsidRDefault="159971D0" w:rsidP="1E055441">
            <w:pPr>
              <w:pStyle w:val="NoSpacing"/>
              <w:jc w:val="center"/>
              <w:rPr>
                <w:rFonts w:ascii="Arial" w:hAnsi="Arial" w:cs="Arial"/>
                <w:b/>
                <w:bCs/>
                <w:sz w:val="20"/>
                <w:szCs w:val="20"/>
              </w:rPr>
            </w:pPr>
            <w:r w:rsidRPr="1E055441">
              <w:rPr>
                <w:rFonts w:ascii="Arial" w:hAnsi="Arial" w:cs="Arial"/>
                <w:b/>
                <w:bCs/>
                <w:sz w:val="20"/>
                <w:szCs w:val="20"/>
              </w:rPr>
              <w:t>Quarter 3 (Oct – Dec) 2021/22</w:t>
            </w:r>
          </w:p>
        </w:tc>
        <w:tc>
          <w:tcPr>
            <w:tcW w:w="1216" w:type="dxa"/>
            <w:tcBorders>
              <w:top w:val="single" w:sz="4" w:space="0" w:color="auto"/>
              <w:left w:val="single" w:sz="4" w:space="0" w:color="auto"/>
              <w:bottom w:val="single" w:sz="4" w:space="0" w:color="auto"/>
              <w:right w:val="single" w:sz="4" w:space="0" w:color="auto"/>
            </w:tcBorders>
          </w:tcPr>
          <w:p w14:paraId="6C063808" w14:textId="77777777" w:rsidR="00794DD3" w:rsidRPr="00517843" w:rsidRDefault="00794DD3" w:rsidP="00027E42">
            <w:pPr>
              <w:pStyle w:val="NoSpacing"/>
              <w:jc w:val="center"/>
              <w:rPr>
                <w:rFonts w:ascii="Arial" w:hAnsi="Arial" w:cs="Arial"/>
                <w:b/>
                <w:bCs/>
              </w:rPr>
            </w:pPr>
            <w:r w:rsidRPr="62385CB5">
              <w:rPr>
                <w:rFonts w:ascii="Arial" w:hAnsi="Arial" w:cs="Arial"/>
                <w:b/>
                <w:bCs/>
                <w:sz w:val="20"/>
                <w:szCs w:val="20"/>
              </w:rPr>
              <w:t>2021/22 Target</w:t>
            </w:r>
          </w:p>
        </w:tc>
      </w:tr>
      <w:tr w:rsidR="00794DD3" w14:paraId="33459319"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37792BC9" w14:textId="77777777" w:rsidR="00794DD3" w:rsidRPr="00AB0D98" w:rsidRDefault="00794DD3" w:rsidP="00EC7BBC">
            <w:pPr>
              <w:pStyle w:val="NoSpacing"/>
              <w:rPr>
                <w:rFonts w:ascii="Arial" w:hAnsi="Arial" w:cs="Arial"/>
              </w:rPr>
            </w:pPr>
            <w:r w:rsidRPr="00AB0D98">
              <w:rPr>
                <w:rFonts w:ascii="Arial" w:hAnsi="Arial" w:cs="Arial"/>
              </w:rPr>
              <w:t>Safety carriageway defects repaired within 4 hours (emergency)</w:t>
            </w:r>
          </w:p>
        </w:tc>
        <w:tc>
          <w:tcPr>
            <w:tcW w:w="1276" w:type="dxa"/>
            <w:tcBorders>
              <w:top w:val="single" w:sz="4" w:space="0" w:color="auto"/>
              <w:left w:val="single" w:sz="4" w:space="0" w:color="auto"/>
              <w:bottom w:val="single" w:sz="4" w:space="0" w:color="auto"/>
              <w:right w:val="single" w:sz="4" w:space="0" w:color="auto"/>
            </w:tcBorders>
            <w:hideMark/>
          </w:tcPr>
          <w:p w14:paraId="3E919C48" w14:textId="77777777"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73253CF6" w14:textId="77777777" w:rsidR="00794DD3" w:rsidRPr="00317E56" w:rsidRDefault="00794DD3" w:rsidP="00027E42">
            <w:pPr>
              <w:pStyle w:val="NoSpacing"/>
              <w:jc w:val="center"/>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76A09C28" w14:textId="77777777" w:rsidR="00794DD3" w:rsidRPr="00517843" w:rsidRDefault="00794DD3" w:rsidP="00027E42">
            <w:pPr>
              <w:pStyle w:val="NoSpacing"/>
              <w:jc w:val="center"/>
              <w:rPr>
                <w:rFonts w:ascii="Arial" w:hAnsi="Arial" w:cs="Arial"/>
              </w:rPr>
            </w:pPr>
            <w:r w:rsidRPr="00517843">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0A938EDD"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92.63%</w:t>
            </w:r>
          </w:p>
        </w:tc>
        <w:tc>
          <w:tcPr>
            <w:tcW w:w="11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9DC7027" w14:textId="77777777" w:rsidR="00794DD3" w:rsidRPr="004019BF" w:rsidRDefault="00794DD3" w:rsidP="00027E42">
            <w:pPr>
              <w:pStyle w:val="NoSpacing"/>
              <w:jc w:val="center"/>
              <w:rPr>
                <w:rFonts w:ascii="Arial" w:hAnsi="Arial" w:cs="Arial"/>
              </w:rPr>
            </w:pPr>
            <w:r w:rsidRPr="62385CB5">
              <w:rPr>
                <w:rFonts w:ascii="Arial" w:hAnsi="Arial" w:cs="Arial"/>
              </w:rPr>
              <w:t>91.95%</w:t>
            </w:r>
          </w:p>
        </w:tc>
        <w:tc>
          <w:tcPr>
            <w:tcW w:w="1556" w:type="dxa"/>
            <w:tcBorders>
              <w:top w:val="single" w:sz="4" w:space="0" w:color="auto"/>
              <w:left w:val="single" w:sz="4" w:space="0" w:color="auto"/>
              <w:bottom w:val="single" w:sz="4" w:space="0" w:color="auto"/>
              <w:right w:val="single" w:sz="4" w:space="0" w:color="auto"/>
            </w:tcBorders>
            <w:shd w:val="clear" w:color="auto" w:fill="FF0000"/>
            <w:vAlign w:val="center"/>
          </w:tcPr>
          <w:p w14:paraId="78C76706"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88.10%</w:t>
            </w:r>
          </w:p>
        </w:tc>
        <w:tc>
          <w:tcPr>
            <w:tcW w:w="1433" w:type="dxa"/>
            <w:tcBorders>
              <w:top w:val="single" w:sz="4" w:space="0" w:color="auto"/>
              <w:left w:val="single" w:sz="4" w:space="0" w:color="auto"/>
              <w:bottom w:val="single" w:sz="4" w:space="0" w:color="auto"/>
              <w:right w:val="single" w:sz="4" w:space="0" w:color="auto"/>
            </w:tcBorders>
            <w:shd w:val="clear" w:color="auto" w:fill="FF0000"/>
            <w:vAlign w:val="center"/>
          </w:tcPr>
          <w:p w14:paraId="14C84FBD" w14:textId="4C3C6BC8" w:rsidR="00794DD3" w:rsidRPr="000D1C6F" w:rsidRDefault="00027E42" w:rsidP="00323A99">
            <w:pPr>
              <w:pStyle w:val="NoSpacing"/>
              <w:jc w:val="center"/>
              <w:rPr>
                <w:rFonts w:ascii="Arial" w:hAnsi="Arial" w:cs="Arial"/>
                <w:highlight w:val="yellow"/>
              </w:rPr>
            </w:pPr>
            <w:r w:rsidRPr="000D1C6F">
              <w:rPr>
                <w:rFonts w:ascii="Arial" w:hAnsi="Arial" w:cs="Arial"/>
                <w:color w:val="FFFFFF" w:themeColor="background1"/>
              </w:rPr>
              <w:t>88.71%</w:t>
            </w:r>
          </w:p>
        </w:tc>
        <w:tc>
          <w:tcPr>
            <w:tcW w:w="16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C7810D" w14:textId="3A2D65D2" w:rsidR="1E055441" w:rsidRDefault="5DC37032" w:rsidP="357F4613">
            <w:pPr>
              <w:pStyle w:val="NoSpacing"/>
              <w:jc w:val="center"/>
              <w:rPr>
                <w:rFonts w:ascii="Arial" w:hAnsi="Arial" w:cs="Arial"/>
                <w:color w:val="000000" w:themeColor="text1"/>
              </w:rPr>
            </w:pPr>
            <w:r w:rsidRPr="357F4613">
              <w:rPr>
                <w:rFonts w:ascii="Arial" w:hAnsi="Arial" w:cs="Arial"/>
                <w:color w:val="000000" w:themeColor="text1"/>
              </w:rPr>
              <w:t>93.02%</w:t>
            </w:r>
          </w:p>
          <w:p w14:paraId="770A5DAB" w14:textId="7BC3076A" w:rsidR="1E055441" w:rsidRDefault="48557916"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(40 out of 43)</w:t>
            </w:r>
          </w:p>
        </w:tc>
        <w:tc>
          <w:tcPr>
            <w:tcW w:w="1216" w:type="dxa"/>
            <w:tcBorders>
              <w:top w:val="single" w:sz="4" w:space="0" w:color="auto"/>
              <w:left w:val="single" w:sz="4" w:space="0" w:color="auto"/>
              <w:bottom w:val="single" w:sz="4" w:space="0" w:color="auto"/>
              <w:right w:val="single" w:sz="4" w:space="0" w:color="auto"/>
            </w:tcBorders>
            <w:vAlign w:val="center"/>
          </w:tcPr>
          <w:p w14:paraId="63A7B131" w14:textId="77777777" w:rsidR="00794DD3" w:rsidRPr="00517843" w:rsidRDefault="00794DD3" w:rsidP="00027E42">
            <w:pPr>
              <w:pStyle w:val="NoSpacing"/>
              <w:jc w:val="center"/>
              <w:rPr>
                <w:rFonts w:ascii="Arial" w:hAnsi="Arial" w:cs="Arial"/>
              </w:rPr>
            </w:pPr>
            <w:r w:rsidRPr="62385CB5">
              <w:rPr>
                <w:rFonts w:ascii="Arial" w:hAnsi="Arial" w:cs="Arial"/>
              </w:rPr>
              <w:t>95%</w:t>
            </w:r>
          </w:p>
        </w:tc>
      </w:tr>
      <w:tr w:rsidR="00794DD3" w14:paraId="167BD2C8"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0F28E7F3" w14:textId="77777777" w:rsidR="00794DD3" w:rsidRPr="00AB0D98" w:rsidRDefault="00794DD3" w:rsidP="00EC7BBC">
            <w:pPr>
              <w:pStyle w:val="NoSpacing"/>
              <w:rPr>
                <w:rFonts w:ascii="Arial" w:hAnsi="Arial" w:cs="Arial"/>
              </w:rPr>
            </w:pPr>
            <w:r w:rsidRPr="00AB0D98">
              <w:rPr>
                <w:rFonts w:ascii="Arial" w:hAnsi="Arial" w:cs="Arial"/>
              </w:rPr>
              <w:t>Safety carriageway defects repaired within 2 working days (urgent)</w:t>
            </w:r>
          </w:p>
        </w:tc>
        <w:tc>
          <w:tcPr>
            <w:tcW w:w="1276" w:type="dxa"/>
            <w:tcBorders>
              <w:top w:val="single" w:sz="4" w:space="0" w:color="auto"/>
              <w:left w:val="single" w:sz="4" w:space="0" w:color="auto"/>
              <w:bottom w:val="single" w:sz="4" w:space="0" w:color="auto"/>
              <w:right w:val="single" w:sz="4" w:space="0" w:color="auto"/>
            </w:tcBorders>
            <w:hideMark/>
          </w:tcPr>
          <w:p w14:paraId="2F56FBCB" w14:textId="77777777"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37065C29" w14:textId="77777777" w:rsidR="00794DD3" w:rsidRPr="00317E56" w:rsidRDefault="00794DD3" w:rsidP="00027E42">
            <w:pPr>
              <w:pStyle w:val="NoSpacing"/>
              <w:jc w:val="center"/>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0A0A5A54" w14:textId="77777777" w:rsidR="00794DD3" w:rsidRPr="00517843" w:rsidRDefault="00794DD3" w:rsidP="00027E42">
            <w:pPr>
              <w:pStyle w:val="NoSpacing"/>
              <w:jc w:val="center"/>
              <w:rPr>
                <w:rFonts w:ascii="Arial" w:hAnsi="Arial" w:cs="Arial"/>
              </w:rPr>
            </w:pPr>
            <w:r w:rsidRPr="00517843">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4A37FC4A"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92.02%</w:t>
            </w:r>
          </w:p>
        </w:tc>
        <w:tc>
          <w:tcPr>
            <w:tcW w:w="1146" w:type="dxa"/>
            <w:tcBorders>
              <w:top w:val="single" w:sz="4" w:space="0" w:color="auto"/>
              <w:left w:val="single" w:sz="4" w:space="0" w:color="auto"/>
              <w:bottom w:val="single" w:sz="4" w:space="0" w:color="auto"/>
              <w:right w:val="single" w:sz="4" w:space="0" w:color="auto"/>
            </w:tcBorders>
            <w:shd w:val="clear" w:color="auto" w:fill="FF0000"/>
            <w:vAlign w:val="center"/>
          </w:tcPr>
          <w:p w14:paraId="60D6906D"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86.79%</w:t>
            </w:r>
          </w:p>
        </w:tc>
        <w:tc>
          <w:tcPr>
            <w:tcW w:w="1556" w:type="dxa"/>
            <w:tcBorders>
              <w:top w:val="single" w:sz="4" w:space="0" w:color="auto"/>
              <w:left w:val="single" w:sz="4" w:space="0" w:color="auto"/>
              <w:bottom w:val="single" w:sz="4" w:space="0" w:color="auto"/>
              <w:right w:val="single" w:sz="4" w:space="0" w:color="auto"/>
            </w:tcBorders>
            <w:shd w:val="clear" w:color="auto" w:fill="FF0000"/>
            <w:vAlign w:val="center"/>
          </w:tcPr>
          <w:p w14:paraId="226F94DE"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82.29%</w:t>
            </w:r>
          </w:p>
        </w:tc>
        <w:tc>
          <w:tcPr>
            <w:tcW w:w="1433" w:type="dxa"/>
            <w:tcBorders>
              <w:top w:val="single" w:sz="4" w:space="0" w:color="auto"/>
              <w:left w:val="single" w:sz="4" w:space="0" w:color="auto"/>
              <w:bottom w:val="single" w:sz="4" w:space="0" w:color="auto"/>
              <w:right w:val="single" w:sz="4" w:space="0" w:color="auto"/>
            </w:tcBorders>
            <w:shd w:val="clear" w:color="auto" w:fill="FF0000"/>
            <w:vAlign w:val="center"/>
          </w:tcPr>
          <w:p w14:paraId="2DAED860" w14:textId="21BBF621" w:rsidR="00794DD3" w:rsidRPr="00027E42" w:rsidRDefault="00027E42" w:rsidP="005976D8">
            <w:pPr>
              <w:pStyle w:val="NoSpacing"/>
              <w:jc w:val="center"/>
              <w:rPr>
                <w:rFonts w:ascii="Arial" w:hAnsi="Arial" w:cs="Arial"/>
                <w:color w:val="FFFFFF" w:themeColor="background1"/>
              </w:rPr>
            </w:pPr>
            <w:r w:rsidRPr="00027E42">
              <w:rPr>
                <w:rFonts w:ascii="Arial" w:hAnsi="Arial" w:cs="Arial"/>
                <w:color w:val="FFFFFF" w:themeColor="background1"/>
              </w:rPr>
              <w:t>85.42%</w:t>
            </w:r>
          </w:p>
        </w:tc>
        <w:tc>
          <w:tcPr>
            <w:tcW w:w="16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32C1F6" w14:textId="3B034AB3" w:rsidR="1E055441" w:rsidRDefault="76C994E1" w:rsidP="357F4613">
            <w:pPr>
              <w:pStyle w:val="NoSpacing"/>
              <w:jc w:val="center"/>
              <w:rPr>
                <w:rFonts w:ascii="Arial" w:hAnsi="Arial" w:cs="Arial"/>
                <w:color w:val="000000" w:themeColor="text1"/>
              </w:rPr>
            </w:pPr>
            <w:r w:rsidRPr="357F4613">
              <w:rPr>
                <w:rFonts w:ascii="Arial" w:hAnsi="Arial" w:cs="Arial"/>
                <w:color w:val="000000" w:themeColor="text1"/>
              </w:rPr>
              <w:t>94.59%</w:t>
            </w:r>
          </w:p>
          <w:p w14:paraId="1EE65A03" w14:textId="29446356" w:rsidR="1E055441" w:rsidRDefault="3EB47AF3"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(210 out of 222)</w:t>
            </w:r>
          </w:p>
        </w:tc>
        <w:tc>
          <w:tcPr>
            <w:tcW w:w="1216" w:type="dxa"/>
            <w:tcBorders>
              <w:top w:val="single" w:sz="4" w:space="0" w:color="auto"/>
              <w:left w:val="single" w:sz="4" w:space="0" w:color="auto"/>
              <w:bottom w:val="single" w:sz="4" w:space="0" w:color="auto"/>
              <w:right w:val="single" w:sz="4" w:space="0" w:color="auto"/>
            </w:tcBorders>
            <w:vAlign w:val="center"/>
          </w:tcPr>
          <w:p w14:paraId="27AF988B" w14:textId="77777777" w:rsidR="00794DD3" w:rsidRPr="00517843" w:rsidRDefault="00794DD3" w:rsidP="00027E42">
            <w:pPr>
              <w:pStyle w:val="NoSpacing"/>
              <w:jc w:val="center"/>
              <w:rPr>
                <w:rFonts w:ascii="Arial" w:hAnsi="Arial" w:cs="Arial"/>
              </w:rPr>
            </w:pPr>
            <w:r w:rsidRPr="62385CB5">
              <w:rPr>
                <w:rFonts w:ascii="Arial" w:hAnsi="Arial" w:cs="Arial"/>
              </w:rPr>
              <w:t>95%</w:t>
            </w:r>
          </w:p>
        </w:tc>
      </w:tr>
      <w:tr w:rsidR="00794DD3" w14:paraId="76CEA781"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275204AB" w14:textId="1106C83C" w:rsidR="00794DD3" w:rsidRPr="00AB0D98" w:rsidRDefault="00794DD3" w:rsidP="00EC7BBC">
            <w:pPr>
              <w:pStyle w:val="NoSpacing"/>
              <w:rPr>
                <w:rFonts w:ascii="Arial" w:hAnsi="Arial" w:cs="Arial"/>
              </w:rPr>
            </w:pPr>
            <w:r w:rsidRPr="00AB0D98">
              <w:rPr>
                <w:rFonts w:ascii="Arial" w:hAnsi="Arial" w:cs="Arial"/>
              </w:rPr>
              <w:t>Safety carriageway defects repaired within 5 working days (non-urgent)</w:t>
            </w:r>
          </w:p>
        </w:tc>
        <w:tc>
          <w:tcPr>
            <w:tcW w:w="1276" w:type="dxa"/>
            <w:tcBorders>
              <w:top w:val="single" w:sz="4" w:space="0" w:color="auto"/>
              <w:left w:val="single" w:sz="4" w:space="0" w:color="auto"/>
              <w:bottom w:val="single" w:sz="4" w:space="0" w:color="auto"/>
              <w:right w:val="single" w:sz="4" w:space="0" w:color="auto"/>
            </w:tcBorders>
            <w:hideMark/>
          </w:tcPr>
          <w:p w14:paraId="1089EEF0" w14:textId="77777777"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16A0265C" w14:textId="77777777" w:rsidR="00794DD3" w:rsidRPr="00317E56" w:rsidRDefault="00794DD3" w:rsidP="00027E42">
            <w:pPr>
              <w:pStyle w:val="NoSpacing"/>
              <w:jc w:val="center"/>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18EC619B" w14:textId="77777777" w:rsidR="00794DD3" w:rsidRPr="00517843" w:rsidRDefault="00794DD3" w:rsidP="00027E42">
            <w:pPr>
              <w:pStyle w:val="NoSpacing"/>
              <w:jc w:val="center"/>
              <w:rPr>
                <w:rFonts w:ascii="Arial" w:hAnsi="Arial" w:cs="Arial"/>
              </w:rPr>
            </w:pPr>
            <w:r w:rsidRPr="00517843">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69240B"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86.06%</w:t>
            </w:r>
          </w:p>
        </w:tc>
        <w:tc>
          <w:tcPr>
            <w:tcW w:w="1146" w:type="dxa"/>
            <w:tcBorders>
              <w:top w:val="single" w:sz="4" w:space="0" w:color="auto"/>
              <w:left w:val="single" w:sz="4" w:space="0" w:color="auto"/>
              <w:bottom w:val="single" w:sz="4" w:space="0" w:color="auto"/>
              <w:right w:val="single" w:sz="4" w:space="0" w:color="auto"/>
            </w:tcBorders>
            <w:shd w:val="clear" w:color="auto" w:fill="FF0000"/>
            <w:vAlign w:val="center"/>
          </w:tcPr>
          <w:p w14:paraId="3F987E55"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85.28%</w:t>
            </w:r>
          </w:p>
        </w:tc>
        <w:tc>
          <w:tcPr>
            <w:tcW w:w="1556" w:type="dxa"/>
            <w:tcBorders>
              <w:top w:val="single" w:sz="4" w:space="0" w:color="auto"/>
              <w:left w:val="single" w:sz="4" w:space="0" w:color="auto"/>
              <w:bottom w:val="single" w:sz="4" w:space="0" w:color="auto"/>
              <w:right w:val="single" w:sz="4" w:space="0" w:color="auto"/>
            </w:tcBorders>
            <w:shd w:val="clear" w:color="auto" w:fill="FF0000"/>
            <w:vAlign w:val="center"/>
          </w:tcPr>
          <w:p w14:paraId="58334F88" w14:textId="77777777" w:rsidR="00794DD3" w:rsidRPr="000D1C6F" w:rsidRDefault="00794DD3" w:rsidP="00027E42">
            <w:pPr>
              <w:pStyle w:val="NoSpacing"/>
              <w:jc w:val="center"/>
              <w:rPr>
                <w:rFonts w:ascii="Arial" w:hAnsi="Arial" w:cs="Arial"/>
                <w:color w:val="FFFFFF" w:themeColor="background1"/>
              </w:rPr>
            </w:pPr>
            <w:r w:rsidRPr="000D1C6F">
              <w:rPr>
                <w:rFonts w:ascii="Arial" w:hAnsi="Arial" w:cs="Arial"/>
                <w:color w:val="FFFFFF" w:themeColor="background1"/>
              </w:rPr>
              <w:t>79.2%</w:t>
            </w:r>
          </w:p>
        </w:tc>
        <w:tc>
          <w:tcPr>
            <w:tcW w:w="14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37EE747" w14:textId="14649751" w:rsidR="00794DD3" w:rsidRPr="00027E42" w:rsidRDefault="00027E42" w:rsidP="005976D8">
            <w:pPr>
              <w:pStyle w:val="NoSpacing"/>
              <w:jc w:val="center"/>
              <w:rPr>
                <w:rFonts w:ascii="Arial" w:hAnsi="Arial" w:cs="Arial"/>
              </w:rPr>
            </w:pPr>
            <w:r w:rsidRPr="00027E42">
              <w:rPr>
                <w:rFonts w:ascii="Arial" w:hAnsi="Arial" w:cs="Arial"/>
              </w:rPr>
              <w:t>87.29%</w:t>
            </w:r>
          </w:p>
        </w:tc>
        <w:tc>
          <w:tcPr>
            <w:tcW w:w="16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3409B0" w14:textId="67487321" w:rsidR="1E055441" w:rsidRDefault="3ADCAEF2" w:rsidP="357F4613">
            <w:pPr>
              <w:pStyle w:val="NoSpacing"/>
              <w:jc w:val="center"/>
            </w:pPr>
            <w:r w:rsidRPr="357F4613">
              <w:rPr>
                <w:rFonts w:ascii="Arial" w:hAnsi="Arial" w:cs="Arial"/>
              </w:rPr>
              <w:t>90.59%</w:t>
            </w:r>
          </w:p>
          <w:p w14:paraId="3FAE9EDC" w14:textId="332F92CB" w:rsidR="1E055441" w:rsidRDefault="5C3BFAA6"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(847 out of 935)</w:t>
            </w:r>
          </w:p>
        </w:tc>
        <w:tc>
          <w:tcPr>
            <w:tcW w:w="1216" w:type="dxa"/>
            <w:tcBorders>
              <w:top w:val="single" w:sz="4" w:space="0" w:color="auto"/>
              <w:left w:val="single" w:sz="4" w:space="0" w:color="auto"/>
              <w:bottom w:val="single" w:sz="4" w:space="0" w:color="auto"/>
              <w:right w:val="single" w:sz="4" w:space="0" w:color="auto"/>
            </w:tcBorders>
            <w:vAlign w:val="center"/>
          </w:tcPr>
          <w:p w14:paraId="767B6495" w14:textId="77777777" w:rsidR="00794DD3" w:rsidRPr="00517843" w:rsidRDefault="00794DD3" w:rsidP="00027E42">
            <w:pPr>
              <w:pStyle w:val="NoSpacing"/>
              <w:jc w:val="center"/>
              <w:rPr>
                <w:rFonts w:ascii="Arial" w:hAnsi="Arial" w:cs="Arial"/>
              </w:rPr>
            </w:pPr>
            <w:r w:rsidRPr="62385CB5">
              <w:rPr>
                <w:rFonts w:ascii="Arial" w:hAnsi="Arial" w:cs="Arial"/>
              </w:rPr>
              <w:t>90%</w:t>
            </w:r>
          </w:p>
        </w:tc>
      </w:tr>
      <w:tr w:rsidR="00F15D0D" w14:paraId="0AA347EF" w14:textId="77777777" w:rsidTr="0008483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tcPr>
          <w:p w14:paraId="72B4C6D0" w14:textId="12F92C14" w:rsidR="00F15D0D" w:rsidRPr="00AB0D98" w:rsidRDefault="00F15D0D" w:rsidP="00F15D0D">
            <w:pPr>
              <w:pStyle w:val="NoSpacing"/>
              <w:rPr>
                <w:rFonts w:ascii="Arial" w:hAnsi="Arial" w:cs="Arial"/>
              </w:rPr>
            </w:pPr>
            <w:r w:rsidRPr="00AB0D98">
              <w:rPr>
                <w:rFonts w:ascii="Arial" w:hAnsi="Arial" w:cs="Arial"/>
              </w:rPr>
              <w:t xml:space="preserve">Safety carriageway defects repaired within </w:t>
            </w:r>
            <w:r>
              <w:rPr>
                <w:rFonts w:ascii="Arial" w:hAnsi="Arial" w:cs="Arial"/>
              </w:rPr>
              <w:t>10</w:t>
            </w:r>
            <w:r w:rsidRPr="00AB0D98">
              <w:rPr>
                <w:rFonts w:ascii="Arial" w:hAnsi="Arial" w:cs="Arial"/>
              </w:rPr>
              <w:t xml:space="preserve"> working days</w:t>
            </w:r>
            <w:r w:rsidR="00ED4F01">
              <w:rPr>
                <w:rFonts w:ascii="Arial" w:hAnsi="Arial" w:cs="Arial"/>
              </w:rPr>
              <w:t xml:space="preserve"> </w:t>
            </w:r>
            <w:r w:rsidR="00ED4F01" w:rsidRPr="00AB0D98">
              <w:rPr>
                <w:rFonts w:ascii="Arial" w:hAnsi="Arial" w:cs="Arial"/>
              </w:rPr>
              <w:t>(non-urgent)</w:t>
            </w:r>
          </w:p>
        </w:tc>
        <w:tc>
          <w:tcPr>
            <w:tcW w:w="1276" w:type="dxa"/>
            <w:tcBorders>
              <w:top w:val="single" w:sz="4" w:space="0" w:color="auto"/>
              <w:left w:val="single" w:sz="4" w:space="0" w:color="auto"/>
              <w:bottom w:val="single" w:sz="4" w:space="0" w:color="auto"/>
              <w:right w:val="single" w:sz="4" w:space="0" w:color="auto"/>
            </w:tcBorders>
          </w:tcPr>
          <w:p w14:paraId="1C3C083C" w14:textId="715FFB8F" w:rsidR="00F15D0D" w:rsidRPr="00517843" w:rsidRDefault="00F15D0D" w:rsidP="00F15D0D">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4614A436" w14:textId="0A42906B" w:rsidR="00F15D0D" w:rsidRPr="00317E56" w:rsidRDefault="00F15D0D" w:rsidP="00F15D0D">
            <w:pPr>
              <w:pStyle w:val="NoSpacing"/>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20EC9139" w14:textId="36AB08E7" w:rsidR="00F15D0D" w:rsidRPr="00517843" w:rsidRDefault="00F15D0D" w:rsidP="00F15D0D">
            <w:pPr>
              <w:pStyle w:val="NoSpacing"/>
              <w:jc w:val="center"/>
              <w:rPr>
                <w:rFonts w:ascii="Arial" w:hAnsi="Arial" w:cs="Arial"/>
              </w:rPr>
            </w:pPr>
            <w:r w:rsidRPr="00517843">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8BF6DF" w14:textId="3E5B6E7E" w:rsidR="00F15D0D" w:rsidRPr="62385CB5" w:rsidRDefault="0008483A" w:rsidP="00F15D0D">
            <w:pPr>
              <w:pStyle w:val="NoSpacing"/>
              <w:jc w:val="center"/>
              <w:rPr>
                <w:rFonts w:ascii="Arial" w:hAnsi="Arial" w:cs="Arial"/>
              </w:rPr>
            </w:pPr>
            <w:r w:rsidRPr="00EE5D1A">
              <w:rPr>
                <w:rFonts w:ascii="Arial" w:hAnsi="Arial" w:cs="Arial"/>
              </w:rPr>
              <w:t>91.85%</w:t>
            </w:r>
          </w:p>
        </w:tc>
        <w:tc>
          <w:tcPr>
            <w:tcW w:w="11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8AA792" w14:textId="2D3874F3" w:rsidR="00F15D0D" w:rsidRPr="62385CB5" w:rsidRDefault="002D2021" w:rsidP="00F15D0D">
            <w:pPr>
              <w:pStyle w:val="NoSpacing"/>
              <w:jc w:val="center"/>
              <w:rPr>
                <w:rFonts w:ascii="Arial" w:hAnsi="Arial" w:cs="Arial"/>
              </w:rPr>
            </w:pPr>
            <w:r>
              <w:rPr>
                <w:rFonts w:ascii="Arial" w:hAnsi="Arial" w:cs="Arial"/>
              </w:rPr>
              <w:t>86.10%</w:t>
            </w:r>
          </w:p>
        </w:tc>
        <w:tc>
          <w:tcPr>
            <w:tcW w:w="15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44B6EB8" w14:textId="48BCF830" w:rsidR="00F15D0D" w:rsidRPr="62385CB5" w:rsidRDefault="0046057C" w:rsidP="00F15D0D">
            <w:pPr>
              <w:pStyle w:val="NoSpacing"/>
              <w:jc w:val="center"/>
              <w:rPr>
                <w:rFonts w:ascii="Arial" w:hAnsi="Arial" w:cs="Arial"/>
              </w:rPr>
            </w:pPr>
            <w:r>
              <w:rPr>
                <w:rFonts w:ascii="Arial" w:hAnsi="Arial" w:cs="Arial"/>
              </w:rPr>
              <w:t>86.93%</w:t>
            </w:r>
          </w:p>
        </w:tc>
        <w:tc>
          <w:tcPr>
            <w:tcW w:w="14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E36B27" w14:textId="74C36F88" w:rsidR="00BD2C2E" w:rsidRPr="00027E42" w:rsidRDefault="00BD2C2E" w:rsidP="00FF275A">
            <w:pPr>
              <w:pStyle w:val="NoSpacing"/>
              <w:jc w:val="center"/>
              <w:rPr>
                <w:rFonts w:ascii="Arial" w:hAnsi="Arial" w:cs="Arial"/>
              </w:rPr>
            </w:pPr>
            <w:r>
              <w:rPr>
                <w:rFonts w:ascii="Arial" w:hAnsi="Arial" w:cs="Arial"/>
              </w:rPr>
              <w:t>9</w:t>
            </w:r>
            <w:r w:rsidR="001A3737">
              <w:rPr>
                <w:rFonts w:ascii="Arial" w:hAnsi="Arial" w:cs="Arial"/>
              </w:rPr>
              <w:t>1.33</w:t>
            </w:r>
            <w:r>
              <w:rPr>
                <w:rFonts w:ascii="Arial" w:hAnsi="Arial" w:cs="Arial"/>
              </w:rPr>
              <w:t>%</w:t>
            </w:r>
          </w:p>
        </w:tc>
        <w:tc>
          <w:tcPr>
            <w:tcW w:w="16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091152" w14:textId="77777777" w:rsidR="00F15D0D" w:rsidRDefault="00FD18BB" w:rsidP="00F15D0D">
            <w:pPr>
              <w:pStyle w:val="NoSpacing"/>
              <w:jc w:val="center"/>
              <w:rPr>
                <w:rFonts w:ascii="Arial" w:hAnsi="Arial" w:cs="Arial"/>
              </w:rPr>
            </w:pPr>
            <w:r>
              <w:rPr>
                <w:rFonts w:ascii="Arial" w:hAnsi="Arial" w:cs="Arial"/>
              </w:rPr>
              <w:t>88.97%</w:t>
            </w:r>
          </w:p>
          <w:p w14:paraId="5B9276A2" w14:textId="2FEEA823" w:rsidR="00FD18BB" w:rsidRPr="357F4613" w:rsidRDefault="00FD18BB" w:rsidP="00F15D0D">
            <w:pPr>
              <w:pStyle w:val="NoSpacing"/>
              <w:jc w:val="center"/>
              <w:rPr>
                <w:rFonts w:ascii="Arial" w:hAnsi="Arial" w:cs="Arial"/>
              </w:rPr>
            </w:pPr>
            <w:r w:rsidRPr="009540CC">
              <w:rPr>
                <w:rFonts w:ascii="Arial" w:hAnsi="Arial" w:cs="Arial"/>
                <w:color w:val="000000" w:themeColor="text1"/>
                <w:sz w:val="20"/>
                <w:szCs w:val="20"/>
              </w:rPr>
              <w:t>(</w:t>
            </w:r>
            <w:r w:rsidR="009540CC" w:rsidRPr="009540CC">
              <w:rPr>
                <w:rFonts w:ascii="Arial" w:hAnsi="Arial" w:cs="Arial"/>
                <w:color w:val="000000" w:themeColor="text1"/>
                <w:sz w:val="20"/>
                <w:szCs w:val="20"/>
              </w:rPr>
              <w:t>3</w:t>
            </w:r>
            <w:r w:rsidR="009540CC">
              <w:rPr>
                <w:rFonts w:ascii="Arial" w:hAnsi="Arial" w:cs="Arial"/>
                <w:color w:val="000000" w:themeColor="text1"/>
                <w:sz w:val="20"/>
                <w:szCs w:val="20"/>
              </w:rPr>
              <w:t>,</w:t>
            </w:r>
            <w:r w:rsidR="009540CC" w:rsidRPr="009540CC">
              <w:rPr>
                <w:rFonts w:ascii="Arial" w:hAnsi="Arial" w:cs="Arial"/>
                <w:color w:val="000000" w:themeColor="text1"/>
                <w:sz w:val="20"/>
                <w:szCs w:val="20"/>
              </w:rPr>
              <w:t>793 out of 4</w:t>
            </w:r>
            <w:r w:rsidR="009540CC">
              <w:rPr>
                <w:rFonts w:ascii="Arial" w:hAnsi="Arial" w:cs="Arial"/>
                <w:color w:val="000000" w:themeColor="text1"/>
                <w:sz w:val="20"/>
                <w:szCs w:val="20"/>
              </w:rPr>
              <w:t>,</w:t>
            </w:r>
            <w:r w:rsidR="009540CC" w:rsidRPr="009540CC">
              <w:rPr>
                <w:rFonts w:ascii="Arial" w:hAnsi="Arial" w:cs="Arial"/>
                <w:color w:val="000000" w:themeColor="text1"/>
                <w:sz w:val="20"/>
                <w:szCs w:val="20"/>
              </w:rPr>
              <w:t>263)</w:t>
            </w:r>
          </w:p>
        </w:tc>
        <w:tc>
          <w:tcPr>
            <w:tcW w:w="1216" w:type="dxa"/>
            <w:tcBorders>
              <w:top w:val="single" w:sz="4" w:space="0" w:color="auto"/>
              <w:left w:val="single" w:sz="4" w:space="0" w:color="auto"/>
              <w:bottom w:val="single" w:sz="4" w:space="0" w:color="auto"/>
              <w:right w:val="single" w:sz="4" w:space="0" w:color="auto"/>
            </w:tcBorders>
            <w:vAlign w:val="center"/>
          </w:tcPr>
          <w:p w14:paraId="1CDDF8EC" w14:textId="60BF369C" w:rsidR="00F15D0D" w:rsidRPr="62385CB5" w:rsidRDefault="00F31AF8" w:rsidP="00F15D0D">
            <w:pPr>
              <w:pStyle w:val="NoSpacing"/>
              <w:jc w:val="center"/>
              <w:rPr>
                <w:rFonts w:ascii="Arial" w:hAnsi="Arial" w:cs="Arial"/>
              </w:rPr>
            </w:pPr>
            <w:r>
              <w:rPr>
                <w:rFonts w:ascii="Arial" w:hAnsi="Arial" w:cs="Arial"/>
              </w:rPr>
              <w:t>90%</w:t>
            </w:r>
          </w:p>
        </w:tc>
      </w:tr>
      <w:tr w:rsidR="00794DD3" w14:paraId="2ADEC45B"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hideMark/>
          </w:tcPr>
          <w:p w14:paraId="70FCF7F8" w14:textId="77777777" w:rsidR="00794DD3" w:rsidRPr="00AB0D98" w:rsidRDefault="00794DD3" w:rsidP="00AB6544">
            <w:pPr>
              <w:pStyle w:val="NoSpacing"/>
              <w:rPr>
                <w:rFonts w:ascii="Arial" w:hAnsi="Arial" w:cs="Arial"/>
              </w:rPr>
            </w:pPr>
            <w:r w:rsidRPr="00AB0D98">
              <w:rPr>
                <w:rFonts w:ascii="Arial" w:hAnsi="Arial" w:cs="Arial"/>
              </w:rPr>
              <w:t>Safety carriageway defects repaired within 20 working days (non-urgent)</w:t>
            </w:r>
          </w:p>
        </w:tc>
        <w:tc>
          <w:tcPr>
            <w:tcW w:w="1276" w:type="dxa"/>
            <w:tcBorders>
              <w:top w:val="single" w:sz="4" w:space="0" w:color="auto"/>
              <w:left w:val="single" w:sz="4" w:space="0" w:color="auto"/>
              <w:bottom w:val="single" w:sz="4" w:space="0" w:color="auto"/>
              <w:right w:val="single" w:sz="4" w:space="0" w:color="auto"/>
            </w:tcBorders>
            <w:hideMark/>
          </w:tcPr>
          <w:p w14:paraId="33C1EBE4" w14:textId="77777777"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31835AFA" w14:textId="77777777" w:rsidR="00794DD3" w:rsidRPr="00317E56" w:rsidRDefault="00794DD3" w:rsidP="00AB6544">
            <w:pPr>
              <w:pStyle w:val="NoSpacing"/>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1745F7CC" w14:textId="77777777" w:rsidR="00794DD3" w:rsidRPr="00517843" w:rsidRDefault="00794DD3" w:rsidP="00256874">
            <w:pPr>
              <w:pStyle w:val="NoSpacing"/>
              <w:jc w:val="center"/>
              <w:rPr>
                <w:rFonts w:ascii="Arial" w:hAnsi="Arial" w:cs="Arial"/>
              </w:rPr>
            </w:pPr>
            <w:r w:rsidRPr="00517843">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4011D1" w14:textId="77777777" w:rsidR="00794DD3" w:rsidRPr="00DE5D47" w:rsidRDefault="00794DD3" w:rsidP="00AB6544">
            <w:pPr>
              <w:pStyle w:val="NoSpacing"/>
              <w:jc w:val="center"/>
              <w:rPr>
                <w:rFonts w:ascii="Arial" w:hAnsi="Arial" w:cs="Arial"/>
              </w:rPr>
            </w:pPr>
            <w:r w:rsidRPr="62385CB5">
              <w:rPr>
                <w:rFonts w:ascii="Arial" w:hAnsi="Arial" w:cs="Arial"/>
              </w:rPr>
              <w:t>94.29%</w:t>
            </w:r>
          </w:p>
        </w:tc>
        <w:tc>
          <w:tcPr>
            <w:tcW w:w="11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F86E6C" w14:textId="77777777" w:rsidR="00794DD3" w:rsidRPr="00DE5D47" w:rsidRDefault="00794DD3" w:rsidP="00AB6544">
            <w:pPr>
              <w:pStyle w:val="NoSpacing"/>
              <w:jc w:val="center"/>
              <w:rPr>
                <w:rFonts w:ascii="Arial" w:hAnsi="Arial" w:cs="Arial"/>
              </w:rPr>
            </w:pPr>
            <w:r w:rsidRPr="62385CB5">
              <w:rPr>
                <w:rFonts w:ascii="Arial" w:hAnsi="Arial" w:cs="Arial"/>
              </w:rPr>
              <w:t>90.14%</w:t>
            </w:r>
          </w:p>
        </w:tc>
        <w:tc>
          <w:tcPr>
            <w:tcW w:w="1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B0E380" w14:textId="77777777" w:rsidR="00794DD3" w:rsidRDefault="00794DD3" w:rsidP="00AB6544">
            <w:pPr>
              <w:pStyle w:val="NoSpacing"/>
              <w:jc w:val="center"/>
            </w:pPr>
            <w:r w:rsidRPr="62385CB5">
              <w:rPr>
                <w:rFonts w:ascii="Arial" w:hAnsi="Arial" w:cs="Arial"/>
              </w:rPr>
              <w:t>95.42%</w:t>
            </w:r>
          </w:p>
        </w:tc>
        <w:tc>
          <w:tcPr>
            <w:tcW w:w="14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147D2B" w14:textId="0B048E66" w:rsidR="00794DD3" w:rsidRPr="00027E42" w:rsidRDefault="00027E42" w:rsidP="000D1C6F">
            <w:pPr>
              <w:pStyle w:val="NoSpacing"/>
              <w:jc w:val="center"/>
              <w:rPr>
                <w:rFonts w:ascii="Arial" w:hAnsi="Arial" w:cs="Arial"/>
              </w:rPr>
            </w:pPr>
            <w:r w:rsidRPr="00027E42">
              <w:rPr>
                <w:rFonts w:ascii="Arial" w:hAnsi="Arial" w:cs="Arial"/>
              </w:rPr>
              <w:t>94.53%</w:t>
            </w:r>
          </w:p>
        </w:tc>
        <w:tc>
          <w:tcPr>
            <w:tcW w:w="16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50E27A" w14:textId="4CD9DE06" w:rsidR="1E055441" w:rsidRDefault="519440F8" w:rsidP="357F4613">
            <w:pPr>
              <w:pStyle w:val="NoSpacing"/>
              <w:jc w:val="center"/>
              <w:rPr>
                <w:rFonts w:ascii="Arial" w:hAnsi="Arial" w:cs="Arial"/>
              </w:rPr>
            </w:pPr>
            <w:r w:rsidRPr="357F4613">
              <w:rPr>
                <w:rFonts w:ascii="Arial" w:hAnsi="Arial" w:cs="Arial"/>
              </w:rPr>
              <w:t>93.99%</w:t>
            </w:r>
          </w:p>
          <w:p w14:paraId="0E667A25" w14:textId="4FD952AF" w:rsidR="1E055441" w:rsidRDefault="2480CE8E"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(8,462 out of 9,003)</w:t>
            </w:r>
          </w:p>
        </w:tc>
        <w:tc>
          <w:tcPr>
            <w:tcW w:w="1216" w:type="dxa"/>
            <w:tcBorders>
              <w:top w:val="single" w:sz="4" w:space="0" w:color="auto"/>
              <w:left w:val="single" w:sz="4" w:space="0" w:color="auto"/>
              <w:bottom w:val="single" w:sz="4" w:space="0" w:color="auto"/>
              <w:right w:val="single" w:sz="4" w:space="0" w:color="auto"/>
            </w:tcBorders>
            <w:vAlign w:val="center"/>
          </w:tcPr>
          <w:p w14:paraId="0912A208" w14:textId="77777777" w:rsidR="00794DD3" w:rsidRPr="00517843" w:rsidRDefault="00794DD3" w:rsidP="00AB6544">
            <w:pPr>
              <w:pStyle w:val="NoSpacing"/>
              <w:jc w:val="center"/>
              <w:rPr>
                <w:rFonts w:ascii="Arial" w:hAnsi="Arial" w:cs="Arial"/>
              </w:rPr>
            </w:pPr>
            <w:r w:rsidRPr="62385CB5">
              <w:rPr>
                <w:rFonts w:ascii="Arial" w:hAnsi="Arial" w:cs="Arial"/>
              </w:rPr>
              <w:t>90%</w:t>
            </w:r>
          </w:p>
        </w:tc>
      </w:tr>
      <w:tr w:rsidR="00794DD3" w14:paraId="57F0DD54"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tcPr>
          <w:p w14:paraId="3F1F9A6B" w14:textId="77777777" w:rsidR="00794DD3" w:rsidRPr="00AB0D98" w:rsidRDefault="00794DD3" w:rsidP="00AB6544">
            <w:pPr>
              <w:pStyle w:val="NoSpacing"/>
              <w:rPr>
                <w:rFonts w:ascii="Arial" w:hAnsi="Arial" w:cs="Arial"/>
                <w:color w:val="000000"/>
              </w:rPr>
            </w:pPr>
            <w:r w:rsidRPr="00AB0D98">
              <w:rPr>
                <w:rFonts w:ascii="Arial" w:hAnsi="Arial" w:cs="Arial"/>
                <w:color w:val="000000"/>
              </w:rPr>
              <w:t>Percentage of Non-Traffic Management (NTM) lamp-out faults repaired within 5 working days</w:t>
            </w:r>
          </w:p>
        </w:tc>
        <w:tc>
          <w:tcPr>
            <w:tcW w:w="1276" w:type="dxa"/>
            <w:tcBorders>
              <w:top w:val="single" w:sz="4" w:space="0" w:color="auto"/>
              <w:left w:val="single" w:sz="4" w:space="0" w:color="auto"/>
              <w:bottom w:val="single" w:sz="4" w:space="0" w:color="auto"/>
              <w:right w:val="single" w:sz="4" w:space="0" w:color="auto"/>
            </w:tcBorders>
          </w:tcPr>
          <w:p w14:paraId="3A73E006" w14:textId="77777777"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0A662844" w14:textId="77777777" w:rsidR="00794DD3" w:rsidRPr="00317E56" w:rsidRDefault="00794DD3" w:rsidP="00AB6544">
            <w:pPr>
              <w:pStyle w:val="NoSpacing"/>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44A3E1C6" w14:textId="77777777" w:rsidR="00794DD3" w:rsidRPr="00517843" w:rsidRDefault="00794DD3" w:rsidP="00256874">
            <w:pPr>
              <w:pStyle w:val="NoSpacing"/>
              <w:jc w:val="center"/>
              <w:rPr>
                <w:rFonts w:ascii="Arial" w:hAnsi="Arial" w:cs="Arial"/>
              </w:rPr>
            </w:pPr>
            <w:r>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93A00" w14:textId="5DE42E02" w:rsidR="00794DD3" w:rsidRPr="00E12711" w:rsidRDefault="00794DD3" w:rsidP="00AB6544">
            <w:pPr>
              <w:pStyle w:val="NoSpacing"/>
              <w:jc w:val="center"/>
              <w:rPr>
                <w:rFonts w:ascii="Arial" w:hAnsi="Arial" w:cs="Arial"/>
                <w:color w:val="FFFFFF" w:themeColor="background1"/>
              </w:rPr>
            </w:pPr>
            <w:r w:rsidRPr="62385CB5">
              <w:rPr>
                <w:rFonts w:ascii="Arial" w:hAnsi="Arial" w:cs="Arial"/>
              </w:rPr>
              <w:t xml:space="preserve">New </w:t>
            </w:r>
            <w:r w:rsidR="005965B6" w:rsidRPr="62385CB5">
              <w:rPr>
                <w:rFonts w:ascii="Arial" w:hAnsi="Arial" w:cs="Arial"/>
              </w:rPr>
              <w:t>measure starting</w:t>
            </w:r>
            <w:r w:rsidRPr="62385CB5">
              <w:rPr>
                <w:rFonts w:ascii="Arial" w:hAnsi="Arial" w:cs="Arial"/>
              </w:rPr>
              <w:t xml:space="preserve"> from Q1 2020/21</w:t>
            </w:r>
          </w:p>
        </w:tc>
        <w:tc>
          <w:tcPr>
            <w:tcW w:w="11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D30060" w14:textId="77777777" w:rsidR="00794DD3" w:rsidRPr="00E12711" w:rsidRDefault="00794DD3" w:rsidP="00AB6544">
            <w:pPr>
              <w:pStyle w:val="NoSpacing"/>
              <w:jc w:val="center"/>
              <w:rPr>
                <w:rFonts w:ascii="Arial" w:hAnsi="Arial" w:cs="Arial"/>
              </w:rPr>
            </w:pPr>
            <w:r w:rsidRPr="62385CB5">
              <w:rPr>
                <w:rFonts w:ascii="Arial" w:hAnsi="Arial" w:cs="Arial"/>
              </w:rPr>
              <w:t>91%</w:t>
            </w:r>
          </w:p>
        </w:tc>
        <w:tc>
          <w:tcPr>
            <w:tcW w:w="1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C20558" w14:textId="77777777" w:rsidR="00794DD3" w:rsidRDefault="00794DD3" w:rsidP="00AB6544">
            <w:pPr>
              <w:pStyle w:val="NoSpacing"/>
              <w:jc w:val="center"/>
              <w:rPr>
                <w:rFonts w:ascii="Arial" w:hAnsi="Arial" w:cs="Arial"/>
              </w:rPr>
            </w:pPr>
            <w:r w:rsidRPr="62385CB5">
              <w:rPr>
                <w:rFonts w:ascii="Arial" w:hAnsi="Arial" w:cs="Arial"/>
              </w:rPr>
              <w:t>97%</w:t>
            </w:r>
          </w:p>
        </w:tc>
        <w:tc>
          <w:tcPr>
            <w:tcW w:w="14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53C9BA" w14:textId="53B48F7A" w:rsidR="00794DD3" w:rsidRPr="00186478" w:rsidRDefault="00186478" w:rsidP="0015748B">
            <w:pPr>
              <w:pStyle w:val="NoSpacing"/>
              <w:jc w:val="center"/>
              <w:rPr>
                <w:rFonts w:ascii="Arial" w:hAnsi="Arial" w:cs="Arial"/>
              </w:rPr>
            </w:pPr>
            <w:r w:rsidRPr="00186478">
              <w:rPr>
                <w:rFonts w:ascii="Arial" w:hAnsi="Arial" w:cs="Arial"/>
              </w:rPr>
              <w:t>97%</w:t>
            </w:r>
          </w:p>
        </w:tc>
        <w:tc>
          <w:tcPr>
            <w:tcW w:w="16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8720C1" w14:textId="3A2A2FA3" w:rsidR="45BC2882" w:rsidRDefault="45BC2882" w:rsidP="357F4613">
            <w:pPr>
              <w:pStyle w:val="NoSpacing"/>
              <w:jc w:val="center"/>
              <w:rPr>
                <w:color w:val="000000" w:themeColor="text1"/>
              </w:rPr>
            </w:pPr>
            <w:r w:rsidRPr="357F4613">
              <w:rPr>
                <w:rFonts w:ascii="Arial" w:eastAsia="Arial" w:hAnsi="Arial" w:cs="Arial"/>
                <w:color w:val="000000" w:themeColor="text1"/>
              </w:rPr>
              <w:t>97%</w:t>
            </w:r>
          </w:p>
          <w:p w14:paraId="4F84FCC4" w14:textId="3B31CFE5" w:rsidR="45BC2882" w:rsidRDefault="2DD73ECC"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(1,772 out of 1,819)</w:t>
            </w:r>
          </w:p>
        </w:tc>
        <w:tc>
          <w:tcPr>
            <w:tcW w:w="1216" w:type="dxa"/>
            <w:tcBorders>
              <w:top w:val="single" w:sz="4" w:space="0" w:color="auto"/>
              <w:left w:val="single" w:sz="4" w:space="0" w:color="auto"/>
              <w:bottom w:val="single" w:sz="4" w:space="0" w:color="auto"/>
              <w:right w:val="single" w:sz="4" w:space="0" w:color="auto"/>
            </w:tcBorders>
            <w:vAlign w:val="center"/>
          </w:tcPr>
          <w:p w14:paraId="486EA65B" w14:textId="77777777" w:rsidR="00794DD3" w:rsidRDefault="00794DD3" w:rsidP="00AB6544">
            <w:pPr>
              <w:pStyle w:val="NoSpacing"/>
              <w:jc w:val="center"/>
              <w:rPr>
                <w:rFonts w:ascii="Arial" w:hAnsi="Arial" w:cs="Arial"/>
              </w:rPr>
            </w:pPr>
            <w:r w:rsidRPr="62385CB5">
              <w:rPr>
                <w:rFonts w:ascii="Arial" w:hAnsi="Arial" w:cs="Arial"/>
              </w:rPr>
              <w:t>90% within 5 working days</w:t>
            </w:r>
          </w:p>
        </w:tc>
      </w:tr>
      <w:tr w:rsidR="00EC6FE5" w14:paraId="7104A823" w14:textId="77777777" w:rsidTr="003A4B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14:paraId="4CA131B8" w14:textId="75EE5E55" w:rsidR="00EC6FE5" w:rsidRPr="00AB0D98" w:rsidRDefault="00EC6FE5" w:rsidP="00EC6FE5">
            <w:pPr>
              <w:pStyle w:val="NoSpacing"/>
              <w:jc w:val="center"/>
              <w:rPr>
                <w:rFonts w:ascii="Arial" w:hAnsi="Arial" w:cs="Arial"/>
                <w:color w:val="000000"/>
              </w:rPr>
            </w:pPr>
            <w:r w:rsidRPr="0047796E">
              <w:rPr>
                <w:rFonts w:ascii="Arial" w:hAnsi="Arial" w:cs="Arial"/>
                <w:b/>
                <w:sz w:val="20"/>
                <w:szCs w:val="20"/>
              </w:rPr>
              <w:lastRenderedPageBreak/>
              <w:t>Performance Indicator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D2C32" w14:textId="54A5D119" w:rsidR="00EC6FE5" w:rsidRPr="00517843" w:rsidRDefault="00EC6FE5" w:rsidP="00EC6FE5">
            <w:pPr>
              <w:pStyle w:val="NoSpacing"/>
              <w:jc w:val="center"/>
              <w:rPr>
                <w:rFonts w:ascii="Arial" w:hAnsi="Arial" w:cs="Arial"/>
              </w:rPr>
            </w:pPr>
            <w:r w:rsidRPr="0047796E">
              <w:rPr>
                <w:rFonts w:ascii="Arial" w:hAnsi="Arial" w:cs="Arial"/>
                <w:b/>
                <w:sz w:val="20"/>
                <w:szCs w:val="20"/>
              </w:rPr>
              <w:t>Frequency</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1955787" w14:textId="78538D69" w:rsidR="00EC6FE5" w:rsidRPr="00317E56" w:rsidRDefault="00EC6FE5" w:rsidP="00EC6FE5">
            <w:pPr>
              <w:pStyle w:val="NoSpacing"/>
              <w:rPr>
                <w:rFonts w:ascii="Arial" w:hAnsi="Arial" w:cs="Arial"/>
                <w:sz w:val="20"/>
                <w:szCs w:val="20"/>
              </w:rPr>
            </w:pPr>
            <w:r w:rsidRPr="62385CB5">
              <w:rPr>
                <w:rFonts w:ascii="Arial" w:hAnsi="Arial" w:cs="Arial"/>
                <w:b/>
                <w:bCs/>
                <w:sz w:val="20"/>
                <w:szCs w:val="20"/>
              </w:rPr>
              <w:t>Directorate</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94B95F5" w14:textId="3864F379" w:rsidR="00EC6FE5" w:rsidRDefault="00EC6FE5" w:rsidP="00EC6FE5">
            <w:pPr>
              <w:pStyle w:val="NoSpacing"/>
              <w:jc w:val="center"/>
              <w:rPr>
                <w:rFonts w:ascii="Arial" w:hAnsi="Arial" w:cs="Arial"/>
              </w:rPr>
            </w:pPr>
            <w:r w:rsidRPr="62385CB5">
              <w:rPr>
                <w:rFonts w:ascii="Arial" w:hAnsi="Arial" w:cs="Arial"/>
                <w:b/>
                <w:bCs/>
                <w:sz w:val="20"/>
                <w:szCs w:val="20"/>
              </w:rPr>
              <w:t>Good is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tcPr>
          <w:p w14:paraId="73C4AF84" w14:textId="13DD4C64" w:rsidR="00EC6FE5" w:rsidRPr="62385CB5" w:rsidRDefault="00EC6FE5" w:rsidP="00EC6FE5">
            <w:pPr>
              <w:pStyle w:val="NoSpacing"/>
              <w:jc w:val="center"/>
              <w:rPr>
                <w:rFonts w:ascii="Arial" w:hAnsi="Arial" w:cs="Arial"/>
              </w:rPr>
            </w:pPr>
            <w:r w:rsidRPr="62385CB5">
              <w:rPr>
                <w:rFonts w:ascii="Arial" w:hAnsi="Arial" w:cs="Arial"/>
                <w:b/>
                <w:bCs/>
                <w:sz w:val="20"/>
                <w:szCs w:val="20"/>
              </w:rPr>
              <w:t>2019/20 Outturn</w:t>
            </w:r>
          </w:p>
        </w:tc>
        <w:tc>
          <w:tcPr>
            <w:tcW w:w="1146" w:type="dxa"/>
            <w:tcBorders>
              <w:top w:val="single" w:sz="4" w:space="0" w:color="auto"/>
              <w:left w:val="single" w:sz="4" w:space="0" w:color="auto"/>
              <w:bottom w:val="single" w:sz="4" w:space="0" w:color="auto"/>
              <w:right w:val="single" w:sz="4" w:space="0" w:color="auto"/>
            </w:tcBorders>
            <w:shd w:val="clear" w:color="auto" w:fill="auto"/>
          </w:tcPr>
          <w:p w14:paraId="5B8E6126" w14:textId="2BC84D3B" w:rsidR="00EC6FE5" w:rsidRPr="62385CB5" w:rsidRDefault="00EC6FE5" w:rsidP="00EC6FE5">
            <w:pPr>
              <w:pStyle w:val="NoSpacing"/>
              <w:jc w:val="center"/>
              <w:rPr>
                <w:rFonts w:ascii="Arial" w:hAnsi="Arial" w:cs="Arial"/>
              </w:rPr>
            </w:pPr>
            <w:r w:rsidRPr="62385CB5">
              <w:rPr>
                <w:rFonts w:ascii="Arial" w:hAnsi="Arial" w:cs="Arial"/>
                <w:b/>
                <w:bCs/>
                <w:sz w:val="20"/>
                <w:szCs w:val="20"/>
              </w:rPr>
              <w:t>2020/21 Outturn</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E478D0D" w14:textId="77777777" w:rsidR="00EC6FE5" w:rsidRDefault="00EC6FE5" w:rsidP="00EC6FE5">
            <w:pPr>
              <w:pStyle w:val="NoSpacing"/>
              <w:jc w:val="center"/>
              <w:rPr>
                <w:rFonts w:ascii="Arial" w:hAnsi="Arial" w:cs="Arial"/>
                <w:b/>
                <w:bCs/>
                <w:sz w:val="20"/>
                <w:szCs w:val="20"/>
              </w:rPr>
            </w:pPr>
            <w:r w:rsidRPr="62385CB5">
              <w:rPr>
                <w:rFonts w:ascii="Arial" w:hAnsi="Arial" w:cs="Arial"/>
                <w:b/>
                <w:bCs/>
                <w:sz w:val="20"/>
                <w:szCs w:val="20"/>
              </w:rPr>
              <w:t>Quarter 1 (April- June)</w:t>
            </w:r>
          </w:p>
          <w:p w14:paraId="0031D4F0" w14:textId="59FB038A" w:rsidR="00EC6FE5" w:rsidRPr="62385CB5" w:rsidRDefault="00EC6FE5" w:rsidP="00EC6FE5">
            <w:pPr>
              <w:pStyle w:val="NoSpacing"/>
              <w:jc w:val="center"/>
              <w:rPr>
                <w:rFonts w:ascii="Arial" w:hAnsi="Arial" w:cs="Arial"/>
              </w:rPr>
            </w:pPr>
            <w:r w:rsidRPr="62385CB5">
              <w:rPr>
                <w:rFonts w:ascii="Arial" w:hAnsi="Arial" w:cs="Arial"/>
                <w:b/>
                <w:bCs/>
                <w:sz w:val="20"/>
                <w:szCs w:val="20"/>
              </w:rPr>
              <w:t>2021/22</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2C29E68" w14:textId="0DC39A7B" w:rsidR="00EC6FE5" w:rsidRPr="00186478" w:rsidRDefault="00EC6FE5" w:rsidP="00EC6FE5">
            <w:pPr>
              <w:pStyle w:val="NoSpacing"/>
              <w:jc w:val="center"/>
              <w:rPr>
                <w:rFonts w:ascii="Arial" w:hAnsi="Arial" w:cs="Arial"/>
              </w:rPr>
            </w:pPr>
            <w:r>
              <w:rPr>
                <w:rFonts w:ascii="Arial" w:hAnsi="Arial" w:cs="Arial"/>
                <w:b/>
                <w:bCs/>
                <w:sz w:val="20"/>
                <w:szCs w:val="20"/>
              </w:rPr>
              <w:t>Quarter 2 (July – Sep) 2021/22</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F43BD7F" w14:textId="240A0FE4" w:rsidR="00EC6FE5" w:rsidRPr="357F4613" w:rsidRDefault="00EC6FE5" w:rsidP="00EC6FE5">
            <w:pPr>
              <w:pStyle w:val="NoSpacing"/>
              <w:jc w:val="center"/>
              <w:rPr>
                <w:rFonts w:ascii="Arial" w:eastAsia="Arial" w:hAnsi="Arial" w:cs="Arial"/>
                <w:color w:val="000000" w:themeColor="text1"/>
              </w:rPr>
            </w:pPr>
            <w:r w:rsidRPr="1E055441">
              <w:rPr>
                <w:rFonts w:ascii="Arial" w:hAnsi="Arial" w:cs="Arial"/>
                <w:b/>
                <w:bCs/>
                <w:sz w:val="20"/>
                <w:szCs w:val="20"/>
              </w:rPr>
              <w:t>Quarter 3 (Oct – Dec) 2021/22</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4C97E71" w14:textId="311061F0" w:rsidR="00EC6FE5" w:rsidRPr="62385CB5" w:rsidRDefault="00EC6FE5" w:rsidP="00EC6FE5">
            <w:pPr>
              <w:pStyle w:val="NoSpacing"/>
              <w:jc w:val="center"/>
              <w:rPr>
                <w:rFonts w:ascii="Arial" w:hAnsi="Arial" w:cs="Arial"/>
              </w:rPr>
            </w:pPr>
            <w:r w:rsidRPr="62385CB5">
              <w:rPr>
                <w:rFonts w:ascii="Arial" w:hAnsi="Arial" w:cs="Arial"/>
                <w:b/>
                <w:bCs/>
                <w:sz w:val="20"/>
                <w:szCs w:val="20"/>
              </w:rPr>
              <w:t>2021/22 Target</w:t>
            </w:r>
          </w:p>
        </w:tc>
      </w:tr>
      <w:tr w:rsidR="00794DD3" w14:paraId="14A08A78" w14:textId="77777777" w:rsidTr="00200D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jc w:val="center"/>
        </w:trPr>
        <w:tc>
          <w:tcPr>
            <w:tcW w:w="2263" w:type="dxa"/>
            <w:gridSpan w:val="2"/>
            <w:tcBorders>
              <w:top w:val="single" w:sz="4" w:space="0" w:color="auto"/>
              <w:left w:val="single" w:sz="4" w:space="0" w:color="auto"/>
              <w:bottom w:val="single" w:sz="4" w:space="0" w:color="auto"/>
              <w:right w:val="single" w:sz="4" w:space="0" w:color="auto"/>
            </w:tcBorders>
          </w:tcPr>
          <w:p w14:paraId="6B559319" w14:textId="360227D2" w:rsidR="00EC6FE5" w:rsidRDefault="00794DD3" w:rsidP="00EC6FE5">
            <w:pPr>
              <w:pStyle w:val="NoSpacing"/>
              <w:rPr>
                <w:rFonts w:ascii="Arial" w:hAnsi="Arial" w:cs="Arial"/>
                <w:color w:val="000000"/>
              </w:rPr>
            </w:pPr>
            <w:r w:rsidRPr="00AB0D98">
              <w:rPr>
                <w:rFonts w:ascii="Arial" w:hAnsi="Arial" w:cs="Arial"/>
                <w:color w:val="000000"/>
              </w:rPr>
              <w:t xml:space="preserve">Percentage of Traffic Management </w:t>
            </w:r>
            <w:r w:rsidR="002D3700">
              <w:rPr>
                <w:rFonts w:ascii="Arial" w:hAnsi="Arial" w:cs="Arial"/>
                <w:color w:val="000000"/>
              </w:rPr>
              <w:t xml:space="preserve">(TM) </w:t>
            </w:r>
            <w:r w:rsidRPr="00AB0D98">
              <w:rPr>
                <w:rFonts w:ascii="Arial" w:hAnsi="Arial" w:cs="Arial"/>
                <w:color w:val="000000"/>
              </w:rPr>
              <w:t>lamp-out faults repaired within 20 working days</w:t>
            </w:r>
          </w:p>
          <w:p w14:paraId="4E67CB69" w14:textId="19C9BC9D" w:rsidR="00794DD3" w:rsidRPr="00AB0D98" w:rsidRDefault="00794DD3" w:rsidP="00AB6544">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B4BF3F9" w14:textId="38E42B18" w:rsidR="00794DD3" w:rsidRPr="00517843" w:rsidRDefault="00794DD3" w:rsidP="0045224E">
            <w:pPr>
              <w:pStyle w:val="NoSpacing"/>
              <w:jc w:val="center"/>
              <w:rPr>
                <w:rFonts w:ascii="Arial" w:hAnsi="Arial" w:cs="Arial"/>
              </w:rPr>
            </w:pPr>
            <w:r w:rsidRPr="00517843">
              <w:rPr>
                <w:rFonts w:ascii="Arial" w:hAnsi="Arial" w:cs="Arial"/>
              </w:rPr>
              <w:t>Quarterly</w:t>
            </w:r>
          </w:p>
        </w:tc>
        <w:tc>
          <w:tcPr>
            <w:tcW w:w="1418" w:type="dxa"/>
            <w:gridSpan w:val="2"/>
            <w:tcBorders>
              <w:top w:val="single" w:sz="4" w:space="0" w:color="auto"/>
              <w:left w:val="single" w:sz="4" w:space="0" w:color="auto"/>
              <w:bottom w:val="single" w:sz="4" w:space="0" w:color="auto"/>
              <w:right w:val="single" w:sz="4" w:space="0" w:color="auto"/>
            </w:tcBorders>
          </w:tcPr>
          <w:p w14:paraId="0BDB7366" w14:textId="77777777" w:rsidR="00794DD3" w:rsidRPr="00317E56" w:rsidRDefault="00794DD3" w:rsidP="00AB6544">
            <w:pPr>
              <w:pStyle w:val="NoSpacing"/>
              <w:rPr>
                <w:rFonts w:ascii="Arial" w:hAnsi="Arial" w:cs="Arial"/>
                <w:sz w:val="20"/>
                <w:szCs w:val="20"/>
              </w:rPr>
            </w:pPr>
            <w:r w:rsidRPr="00317E56">
              <w:rPr>
                <w:rFonts w:ascii="Arial" w:hAnsi="Arial" w:cs="Arial"/>
                <w:sz w:val="20"/>
                <w:szCs w:val="20"/>
              </w:rPr>
              <w:t>Growth, Environment &amp; Transport</w:t>
            </w:r>
          </w:p>
        </w:tc>
        <w:tc>
          <w:tcPr>
            <w:tcW w:w="876" w:type="dxa"/>
            <w:tcBorders>
              <w:top w:val="single" w:sz="4" w:space="0" w:color="auto"/>
              <w:left w:val="single" w:sz="4" w:space="0" w:color="auto"/>
              <w:bottom w:val="single" w:sz="4" w:space="0" w:color="auto"/>
              <w:right w:val="single" w:sz="4" w:space="0" w:color="auto"/>
            </w:tcBorders>
          </w:tcPr>
          <w:p w14:paraId="3B2D327C" w14:textId="77777777" w:rsidR="00794DD3" w:rsidRPr="00517843" w:rsidRDefault="00794DD3" w:rsidP="00256874">
            <w:pPr>
              <w:pStyle w:val="NoSpacing"/>
              <w:jc w:val="center"/>
              <w:rPr>
                <w:rFonts w:ascii="Arial" w:hAnsi="Arial" w:cs="Arial"/>
              </w:rPr>
            </w:pPr>
            <w:r>
              <w:rPr>
                <w:rFonts w:ascii="Arial" w:hAnsi="Arial" w:cs="Arial"/>
              </w:rPr>
              <w:t>High</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697D6" w14:textId="1BF9EFF2" w:rsidR="00794DD3" w:rsidRDefault="00794DD3" w:rsidP="00AB6544">
            <w:pPr>
              <w:pStyle w:val="NoSpacing"/>
              <w:jc w:val="center"/>
              <w:rPr>
                <w:rFonts w:ascii="Arial" w:hAnsi="Arial" w:cs="Arial"/>
              </w:rPr>
            </w:pPr>
            <w:r w:rsidRPr="62385CB5">
              <w:rPr>
                <w:rFonts w:ascii="Arial" w:hAnsi="Arial" w:cs="Arial"/>
              </w:rPr>
              <w:t>New measur</w:t>
            </w:r>
            <w:r w:rsidR="00317E56">
              <w:rPr>
                <w:rFonts w:ascii="Arial" w:hAnsi="Arial" w:cs="Arial"/>
              </w:rPr>
              <w:t>e</w:t>
            </w:r>
            <w:r w:rsidRPr="62385CB5">
              <w:rPr>
                <w:rFonts w:ascii="Arial" w:hAnsi="Arial" w:cs="Arial"/>
              </w:rPr>
              <w:t xml:space="preserve"> starting from Q1 2020/21</w:t>
            </w:r>
          </w:p>
        </w:tc>
        <w:tc>
          <w:tcPr>
            <w:tcW w:w="11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22BCFF3" w14:textId="77777777" w:rsidR="00794DD3" w:rsidRDefault="00794DD3" w:rsidP="00AB6544">
            <w:pPr>
              <w:pStyle w:val="NoSpacing"/>
              <w:jc w:val="center"/>
              <w:rPr>
                <w:rFonts w:ascii="Arial" w:hAnsi="Arial" w:cs="Arial"/>
              </w:rPr>
            </w:pPr>
            <w:r w:rsidRPr="62385CB5">
              <w:rPr>
                <w:rFonts w:ascii="Arial" w:hAnsi="Arial" w:cs="Arial"/>
              </w:rPr>
              <w:t>89%</w:t>
            </w:r>
          </w:p>
        </w:tc>
        <w:tc>
          <w:tcPr>
            <w:tcW w:w="15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D563A3" w14:textId="77777777" w:rsidR="00794DD3" w:rsidRDefault="00794DD3" w:rsidP="00AB6544">
            <w:pPr>
              <w:pStyle w:val="NoSpacing"/>
              <w:jc w:val="center"/>
              <w:rPr>
                <w:rFonts w:ascii="Arial" w:hAnsi="Arial" w:cs="Arial"/>
              </w:rPr>
            </w:pPr>
            <w:r w:rsidRPr="62385CB5">
              <w:rPr>
                <w:rFonts w:ascii="Arial" w:hAnsi="Arial" w:cs="Arial"/>
              </w:rPr>
              <w:t>100%</w:t>
            </w:r>
          </w:p>
        </w:tc>
        <w:tc>
          <w:tcPr>
            <w:tcW w:w="14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5C2D33" w14:textId="552DDB76" w:rsidR="00794DD3" w:rsidRPr="00186478" w:rsidRDefault="00186478" w:rsidP="00256874">
            <w:pPr>
              <w:pStyle w:val="NoSpacing"/>
              <w:jc w:val="center"/>
              <w:rPr>
                <w:rFonts w:ascii="Arial" w:hAnsi="Arial" w:cs="Arial"/>
              </w:rPr>
            </w:pPr>
            <w:r w:rsidRPr="00186478">
              <w:rPr>
                <w:rFonts w:ascii="Arial" w:hAnsi="Arial" w:cs="Arial"/>
              </w:rPr>
              <w:t>98%</w:t>
            </w:r>
          </w:p>
        </w:tc>
        <w:tc>
          <w:tcPr>
            <w:tcW w:w="16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24529A" w14:textId="5D6C74CC" w:rsidR="06B524F3" w:rsidRDefault="06B524F3" w:rsidP="357F4613">
            <w:pPr>
              <w:pStyle w:val="NoSpacing"/>
              <w:jc w:val="center"/>
              <w:rPr>
                <w:rFonts w:ascii="Arial" w:eastAsia="Arial" w:hAnsi="Arial" w:cs="Arial"/>
                <w:color w:val="000000" w:themeColor="text1"/>
              </w:rPr>
            </w:pPr>
            <w:r w:rsidRPr="357F4613">
              <w:rPr>
                <w:rFonts w:ascii="Arial" w:eastAsia="Arial" w:hAnsi="Arial" w:cs="Arial"/>
                <w:color w:val="000000" w:themeColor="text1"/>
              </w:rPr>
              <w:t>92%</w:t>
            </w:r>
          </w:p>
          <w:p w14:paraId="6FB14EA7" w14:textId="5FE8DCD6" w:rsidR="06B524F3" w:rsidRDefault="6C0D5B53" w:rsidP="357F4613">
            <w:pPr>
              <w:pStyle w:val="NoSpacing"/>
              <w:jc w:val="center"/>
              <w:rPr>
                <w:rFonts w:ascii="Arial" w:hAnsi="Arial" w:cs="Arial"/>
                <w:color w:val="000000" w:themeColor="text1"/>
                <w:sz w:val="20"/>
                <w:szCs w:val="20"/>
              </w:rPr>
            </w:pPr>
            <w:r w:rsidRPr="357F4613">
              <w:rPr>
                <w:rFonts w:ascii="Arial" w:hAnsi="Arial" w:cs="Arial"/>
                <w:color w:val="000000" w:themeColor="text1"/>
                <w:sz w:val="20"/>
                <w:szCs w:val="20"/>
              </w:rPr>
              <w:t>(267 out of 289)</w:t>
            </w:r>
          </w:p>
        </w:tc>
        <w:tc>
          <w:tcPr>
            <w:tcW w:w="1216" w:type="dxa"/>
            <w:tcBorders>
              <w:top w:val="single" w:sz="4" w:space="0" w:color="auto"/>
              <w:left w:val="single" w:sz="4" w:space="0" w:color="auto"/>
              <w:bottom w:val="single" w:sz="4" w:space="0" w:color="auto"/>
              <w:right w:val="single" w:sz="4" w:space="0" w:color="auto"/>
            </w:tcBorders>
            <w:vAlign w:val="center"/>
          </w:tcPr>
          <w:p w14:paraId="193EADDC" w14:textId="77777777" w:rsidR="00794DD3" w:rsidRPr="00517843" w:rsidRDefault="00794DD3" w:rsidP="00AB6544">
            <w:pPr>
              <w:pStyle w:val="NoSpacing"/>
              <w:jc w:val="center"/>
              <w:rPr>
                <w:rFonts w:ascii="Arial" w:hAnsi="Arial" w:cs="Arial"/>
              </w:rPr>
            </w:pPr>
            <w:r w:rsidRPr="62385CB5">
              <w:rPr>
                <w:rFonts w:ascii="Arial" w:hAnsi="Arial" w:cs="Arial"/>
              </w:rPr>
              <w:t>90% within 20 working days</w:t>
            </w:r>
          </w:p>
        </w:tc>
      </w:tr>
    </w:tbl>
    <w:p w14:paraId="1F6A8298" w14:textId="77777777" w:rsidR="00A57D26" w:rsidRDefault="00A57D26" w:rsidP="2AC853C9">
      <w:pPr>
        <w:pStyle w:val="Style1"/>
      </w:pPr>
      <w:bookmarkStart w:id="0" w:name="_Int_uFBQ1oWw"/>
    </w:p>
    <w:p w14:paraId="093C5E84" w14:textId="71CCC514" w:rsidR="00EC6FE5" w:rsidRDefault="001400A4" w:rsidP="000A3BAA">
      <w:pPr>
        <w:pStyle w:val="Style1"/>
        <w:rPr>
          <w:b w:val="0"/>
          <w:bCs w:val="0"/>
        </w:rPr>
      </w:pPr>
      <w:r>
        <w:t>Safety carriageway defects.</w:t>
      </w:r>
      <w:r>
        <w:rPr>
          <w:b w:val="0"/>
          <w:bCs w:val="0"/>
        </w:rPr>
        <w:t xml:space="preserve"> </w:t>
      </w:r>
      <w:r w:rsidR="003E483A">
        <w:rPr>
          <w:b w:val="0"/>
          <w:bCs w:val="0"/>
        </w:rPr>
        <w:t>There has been</w:t>
      </w:r>
      <w:r w:rsidR="02E41EA2">
        <w:rPr>
          <w:b w:val="0"/>
          <w:bCs w:val="0"/>
        </w:rPr>
        <w:t xml:space="preserve"> a continuation of the increase in defects reported both by Highways Service Inspection (HSI) and the public with a peak of over 4800 defects identified by the HSI in </w:t>
      </w:r>
      <w:r w:rsidR="00D70761">
        <w:rPr>
          <w:b w:val="0"/>
          <w:bCs w:val="0"/>
        </w:rPr>
        <w:t>November;</w:t>
      </w:r>
      <w:r w:rsidR="02E41EA2">
        <w:rPr>
          <w:b w:val="0"/>
          <w:bCs w:val="0"/>
        </w:rPr>
        <w:t xml:space="preserve"> 1568 (33%) of these were 10-day response defects.</w:t>
      </w:r>
      <w:bookmarkStart w:id="1" w:name="_Int_0qEPdJWt"/>
      <w:bookmarkEnd w:id="0"/>
      <w:r w:rsidR="00D70761">
        <w:rPr>
          <w:b w:val="0"/>
          <w:bCs w:val="0"/>
        </w:rPr>
        <w:t xml:space="preserve"> </w:t>
      </w:r>
      <w:r w:rsidR="02E41EA2">
        <w:rPr>
          <w:b w:val="0"/>
          <w:bCs w:val="0"/>
        </w:rPr>
        <w:t>Q</w:t>
      </w:r>
      <w:r w:rsidR="00D70761">
        <w:rPr>
          <w:b w:val="0"/>
          <w:bCs w:val="0"/>
        </w:rPr>
        <w:t xml:space="preserve">uarter </w:t>
      </w:r>
      <w:r w:rsidR="02E41EA2">
        <w:rPr>
          <w:b w:val="0"/>
          <w:bCs w:val="0"/>
        </w:rPr>
        <w:t>3 figures show good performance</w:t>
      </w:r>
      <w:r w:rsidR="00F670D3">
        <w:rPr>
          <w:b w:val="0"/>
          <w:bCs w:val="0"/>
        </w:rPr>
        <w:t xml:space="preserve"> overall</w:t>
      </w:r>
      <w:r w:rsidR="02E41EA2">
        <w:rPr>
          <w:b w:val="0"/>
          <w:bCs w:val="0"/>
        </w:rPr>
        <w:t xml:space="preserve">, </w:t>
      </w:r>
      <w:r w:rsidR="00F670D3">
        <w:rPr>
          <w:b w:val="0"/>
          <w:bCs w:val="0"/>
        </w:rPr>
        <w:t xml:space="preserve">although the November peak impacted </w:t>
      </w:r>
      <w:r w:rsidR="00BB7890">
        <w:rPr>
          <w:b w:val="0"/>
          <w:bCs w:val="0"/>
        </w:rPr>
        <w:t xml:space="preserve">on </w:t>
      </w:r>
      <w:r w:rsidR="00290EBB">
        <w:rPr>
          <w:b w:val="0"/>
          <w:bCs w:val="0"/>
        </w:rPr>
        <w:t>achieving th</w:t>
      </w:r>
      <w:r w:rsidR="004A6D2C">
        <w:rPr>
          <w:b w:val="0"/>
          <w:bCs w:val="0"/>
        </w:rPr>
        <w:t>e</w:t>
      </w:r>
      <w:r w:rsidR="02E41EA2">
        <w:rPr>
          <w:b w:val="0"/>
          <w:bCs w:val="0"/>
        </w:rPr>
        <w:t xml:space="preserve"> 10-day response defects </w:t>
      </w:r>
      <w:r w:rsidR="00290EBB">
        <w:rPr>
          <w:b w:val="0"/>
          <w:bCs w:val="0"/>
        </w:rPr>
        <w:t>target</w:t>
      </w:r>
      <w:r w:rsidR="02E41EA2">
        <w:rPr>
          <w:b w:val="0"/>
          <w:bCs w:val="0"/>
        </w:rPr>
        <w:t>.</w:t>
      </w:r>
      <w:r w:rsidR="59894739">
        <w:rPr>
          <w:b w:val="0"/>
          <w:bCs w:val="0"/>
        </w:rPr>
        <w:t xml:space="preserve"> </w:t>
      </w:r>
      <w:r w:rsidR="000A3BAA" w:rsidRPr="000A3BAA">
        <w:rPr>
          <w:b w:val="0"/>
          <w:bCs w:val="0"/>
        </w:rPr>
        <w:t xml:space="preserve">Despite the high volume of safety defects, the service has been effective in responding, using </w:t>
      </w:r>
      <w:r w:rsidR="00FD01C7">
        <w:rPr>
          <w:b w:val="0"/>
          <w:bCs w:val="0"/>
        </w:rPr>
        <w:t>the</w:t>
      </w:r>
      <w:r w:rsidR="000A3BAA" w:rsidRPr="000A3BAA">
        <w:rPr>
          <w:b w:val="0"/>
          <w:bCs w:val="0"/>
        </w:rPr>
        <w:t xml:space="preserve"> in-house repair teams, with support being provided</w:t>
      </w:r>
      <w:r w:rsidR="004A6D2C">
        <w:rPr>
          <w:b w:val="0"/>
          <w:bCs w:val="0"/>
        </w:rPr>
        <w:t xml:space="preserve"> </w:t>
      </w:r>
      <w:r w:rsidR="000A3BAA" w:rsidRPr="000A3BAA">
        <w:rPr>
          <w:b w:val="0"/>
          <w:bCs w:val="0"/>
        </w:rPr>
        <w:t xml:space="preserve">when necessary, by contractors. </w:t>
      </w:r>
      <w:r w:rsidR="00780A3B">
        <w:rPr>
          <w:b w:val="0"/>
          <w:bCs w:val="0"/>
        </w:rPr>
        <w:t xml:space="preserve">There was a rise in covid cases within the service in </w:t>
      </w:r>
      <w:r w:rsidR="000A3BAA" w:rsidRPr="000A3BAA">
        <w:rPr>
          <w:b w:val="0"/>
          <w:bCs w:val="0"/>
        </w:rPr>
        <w:t xml:space="preserve">December </w:t>
      </w:r>
      <w:r w:rsidR="00780A3B">
        <w:rPr>
          <w:b w:val="0"/>
          <w:bCs w:val="0"/>
        </w:rPr>
        <w:t xml:space="preserve">however, </w:t>
      </w:r>
      <w:r w:rsidR="000A3BAA" w:rsidRPr="000A3BAA">
        <w:rPr>
          <w:b w:val="0"/>
          <w:bCs w:val="0"/>
        </w:rPr>
        <w:t xml:space="preserve">this </w:t>
      </w:r>
      <w:r w:rsidR="00780A3B">
        <w:rPr>
          <w:b w:val="0"/>
          <w:bCs w:val="0"/>
        </w:rPr>
        <w:t>was</w:t>
      </w:r>
      <w:r w:rsidR="000A3BAA" w:rsidRPr="000A3BAA">
        <w:rPr>
          <w:b w:val="0"/>
          <w:bCs w:val="0"/>
        </w:rPr>
        <w:t xml:space="preserve"> managed effectively to ensure </w:t>
      </w:r>
      <w:r w:rsidR="00AD3E54">
        <w:rPr>
          <w:b w:val="0"/>
          <w:bCs w:val="0"/>
        </w:rPr>
        <w:t>performance</w:t>
      </w:r>
      <w:r w:rsidR="000A3BAA" w:rsidRPr="000A3BAA">
        <w:rPr>
          <w:b w:val="0"/>
          <w:bCs w:val="0"/>
        </w:rPr>
        <w:t xml:space="preserve"> targets were generally met.</w:t>
      </w:r>
    </w:p>
    <w:bookmarkEnd w:id="1"/>
    <w:p w14:paraId="69ECFB25" w14:textId="77777777" w:rsidR="00A57D26" w:rsidRPr="00214836" w:rsidRDefault="00A57D26" w:rsidP="000A3BAA">
      <w:pPr>
        <w:pStyle w:val="Style1"/>
        <w:rPr>
          <w:b w:val="0"/>
          <w:bCs w:val="0"/>
        </w:rPr>
      </w:pPr>
    </w:p>
    <w:p w14:paraId="082E4801" w14:textId="69987E0F" w:rsidR="00CC48FB" w:rsidRDefault="001400A4" w:rsidP="2AC853C9">
      <w:pPr>
        <w:pStyle w:val="Style1"/>
        <w:rPr>
          <w:rFonts w:eastAsiaTheme="minorEastAsia"/>
          <w:b w:val="0"/>
          <w:bCs w:val="0"/>
        </w:rPr>
      </w:pPr>
      <w:r w:rsidRPr="55CE8D21">
        <w:rPr>
          <w:rFonts w:eastAsia="Arial"/>
        </w:rPr>
        <w:t>Street lighting fault repair.</w:t>
      </w:r>
      <w:r w:rsidRPr="55CE8D21">
        <w:rPr>
          <w:rFonts w:eastAsia="Arial"/>
          <w:b w:val="0"/>
          <w:bCs w:val="0"/>
        </w:rPr>
        <w:t xml:space="preserve"> </w:t>
      </w:r>
      <w:r w:rsidR="5BFA63B4" w:rsidRPr="55CE8D21">
        <w:rPr>
          <w:rFonts w:eastAsiaTheme="minorEastAsia"/>
          <w:b w:val="0"/>
          <w:bCs w:val="0"/>
        </w:rPr>
        <w:t xml:space="preserve">Whilst the Street Lighting performance </w:t>
      </w:r>
      <w:r w:rsidR="7D3968E0" w:rsidRPr="55CE8D21">
        <w:rPr>
          <w:rFonts w:eastAsiaTheme="minorEastAsia"/>
          <w:b w:val="0"/>
          <w:bCs w:val="0"/>
        </w:rPr>
        <w:t>continued to meet the target levels set during q</w:t>
      </w:r>
      <w:r w:rsidR="5BFA63B4" w:rsidRPr="55CE8D21">
        <w:rPr>
          <w:rFonts w:eastAsiaTheme="minorEastAsia"/>
          <w:b w:val="0"/>
          <w:bCs w:val="0"/>
        </w:rPr>
        <w:t>uarter</w:t>
      </w:r>
      <w:r w:rsidR="5390A23A" w:rsidRPr="55CE8D21">
        <w:rPr>
          <w:rFonts w:eastAsiaTheme="minorEastAsia"/>
          <w:b w:val="0"/>
          <w:bCs w:val="0"/>
        </w:rPr>
        <w:t xml:space="preserve"> 3</w:t>
      </w:r>
      <w:r w:rsidR="5BFA63B4" w:rsidRPr="55CE8D21">
        <w:rPr>
          <w:rFonts w:eastAsiaTheme="minorEastAsia"/>
          <w:b w:val="0"/>
          <w:bCs w:val="0"/>
        </w:rPr>
        <w:t>, the service was particularly impacted by the Omicron variant</w:t>
      </w:r>
      <w:r w:rsidR="00622BAB">
        <w:rPr>
          <w:rFonts w:eastAsiaTheme="minorEastAsia"/>
          <w:b w:val="0"/>
          <w:bCs w:val="0"/>
        </w:rPr>
        <w:t xml:space="preserve"> of covid</w:t>
      </w:r>
      <w:r w:rsidR="5BFA63B4" w:rsidRPr="55CE8D21">
        <w:rPr>
          <w:rFonts w:eastAsiaTheme="minorEastAsia"/>
          <w:b w:val="0"/>
          <w:bCs w:val="0"/>
        </w:rPr>
        <w:t xml:space="preserve"> during December, which left the service short-staffed at times and as such unable to attend all faults within allotted timeframes.</w:t>
      </w:r>
    </w:p>
    <w:p w14:paraId="09CE93A7" w14:textId="77777777" w:rsidR="00A57D26" w:rsidRDefault="00A57D26" w:rsidP="2AC853C9">
      <w:pPr>
        <w:pStyle w:val="Style1"/>
        <w:rPr>
          <w:rFonts w:eastAsiaTheme="minorEastAsia"/>
          <w:b w:val="0"/>
          <w:bCs w:val="0"/>
        </w:rPr>
      </w:pPr>
    </w:p>
    <w:p w14:paraId="5F864F04" w14:textId="77777777" w:rsidR="00A57D26" w:rsidRDefault="00A57D26" w:rsidP="2AC853C9">
      <w:pPr>
        <w:pStyle w:val="Style1"/>
        <w:rPr>
          <w:rFonts w:eastAsiaTheme="minorEastAsia"/>
          <w:b w:val="0"/>
          <w:bCs w:val="0"/>
        </w:rPr>
      </w:pPr>
    </w:p>
    <w:p w14:paraId="2CC5E76B" w14:textId="01A85EF0" w:rsidR="00586BE3" w:rsidRDefault="00586BE3">
      <w:pPr>
        <w:autoSpaceDE/>
        <w:autoSpaceDN/>
        <w:adjustRightInd/>
        <w:spacing w:after="160" w:line="259" w:lineRule="auto"/>
        <w:jc w:val="left"/>
        <w:rPr>
          <w:rFonts w:eastAsiaTheme="minorEastAsia" w:cs="Arial"/>
          <w:color w:val="auto"/>
          <w:lang w:eastAsia="en-GB"/>
        </w:rPr>
      </w:pPr>
      <w:r>
        <w:rPr>
          <w:rFonts w:eastAsiaTheme="minorEastAsia"/>
          <w:b/>
          <w:bCs/>
        </w:rPr>
        <w:br w:type="page"/>
      </w:r>
    </w:p>
    <w:tbl>
      <w:tblPr>
        <w:tblW w:w="13950" w:type="dxa"/>
        <w:tblLayout w:type="fixed"/>
        <w:tblLook w:val="04A0" w:firstRow="1" w:lastRow="0" w:firstColumn="1" w:lastColumn="0" w:noHBand="0" w:noVBand="1"/>
      </w:tblPr>
      <w:tblGrid>
        <w:gridCol w:w="1555"/>
        <w:gridCol w:w="1275"/>
        <w:gridCol w:w="1276"/>
        <w:gridCol w:w="755"/>
        <w:gridCol w:w="1413"/>
        <w:gridCol w:w="1572"/>
        <w:gridCol w:w="1559"/>
        <w:gridCol w:w="1545"/>
        <w:gridCol w:w="1545"/>
        <w:gridCol w:w="1455"/>
      </w:tblGrid>
      <w:tr w:rsidR="001400A4" w14:paraId="1DAB9484" w14:textId="77777777" w:rsidTr="00613599">
        <w:trPr>
          <w:trHeight w:val="940"/>
        </w:trPr>
        <w:tc>
          <w:tcPr>
            <w:tcW w:w="1555" w:type="dxa"/>
            <w:tcBorders>
              <w:top w:val="single" w:sz="4" w:space="0" w:color="auto"/>
              <w:left w:val="single" w:sz="4" w:space="0" w:color="auto"/>
              <w:bottom w:val="single" w:sz="4" w:space="0" w:color="auto"/>
              <w:right w:val="single" w:sz="8" w:space="0" w:color="auto"/>
            </w:tcBorders>
          </w:tcPr>
          <w:p w14:paraId="3460AA6F" w14:textId="09C51E67" w:rsidR="001400A4" w:rsidRPr="008F737F" w:rsidRDefault="001400A4" w:rsidP="008F737F">
            <w:pPr>
              <w:jc w:val="center"/>
              <w:rPr>
                <w:sz w:val="20"/>
                <w:szCs w:val="20"/>
              </w:rPr>
            </w:pPr>
            <w:r w:rsidRPr="008F737F">
              <w:rPr>
                <w:rFonts w:eastAsia="Arial" w:cs="Arial"/>
                <w:b/>
                <w:bCs/>
                <w:color w:val="000000" w:themeColor="text1"/>
                <w:sz w:val="20"/>
                <w:szCs w:val="20"/>
              </w:rPr>
              <w:lastRenderedPageBreak/>
              <w:t>Performance Indicator</w:t>
            </w:r>
          </w:p>
        </w:tc>
        <w:tc>
          <w:tcPr>
            <w:tcW w:w="1275" w:type="dxa"/>
            <w:tcBorders>
              <w:top w:val="single" w:sz="4" w:space="0" w:color="auto"/>
              <w:left w:val="single" w:sz="8" w:space="0" w:color="auto"/>
              <w:bottom w:val="single" w:sz="4" w:space="0" w:color="auto"/>
              <w:right w:val="single" w:sz="8" w:space="0" w:color="auto"/>
            </w:tcBorders>
          </w:tcPr>
          <w:p w14:paraId="7B773877" w14:textId="6A2C1614" w:rsidR="001400A4" w:rsidRPr="008F737F" w:rsidRDefault="001400A4" w:rsidP="00923A93">
            <w:pPr>
              <w:jc w:val="center"/>
              <w:rPr>
                <w:sz w:val="20"/>
                <w:szCs w:val="20"/>
              </w:rPr>
            </w:pPr>
            <w:r w:rsidRPr="008F737F">
              <w:rPr>
                <w:rFonts w:eastAsia="Arial" w:cs="Arial"/>
                <w:b/>
                <w:bCs/>
                <w:color w:val="000000" w:themeColor="text1"/>
                <w:sz w:val="20"/>
                <w:szCs w:val="20"/>
              </w:rPr>
              <w:t>Frequency</w:t>
            </w:r>
          </w:p>
        </w:tc>
        <w:tc>
          <w:tcPr>
            <w:tcW w:w="1276" w:type="dxa"/>
            <w:tcBorders>
              <w:top w:val="single" w:sz="4" w:space="0" w:color="auto"/>
              <w:left w:val="single" w:sz="8" w:space="0" w:color="auto"/>
              <w:bottom w:val="single" w:sz="4" w:space="0" w:color="auto"/>
              <w:right w:val="single" w:sz="8" w:space="0" w:color="auto"/>
            </w:tcBorders>
          </w:tcPr>
          <w:p w14:paraId="27BE2CC3" w14:textId="3857F41A" w:rsidR="001400A4" w:rsidRPr="008F737F" w:rsidRDefault="001400A4" w:rsidP="008F737F">
            <w:pPr>
              <w:jc w:val="center"/>
              <w:rPr>
                <w:sz w:val="20"/>
                <w:szCs w:val="20"/>
              </w:rPr>
            </w:pPr>
            <w:r w:rsidRPr="008F737F">
              <w:rPr>
                <w:rFonts w:eastAsia="Arial" w:cs="Arial"/>
                <w:b/>
                <w:bCs/>
                <w:color w:val="000000" w:themeColor="text1"/>
                <w:sz w:val="20"/>
                <w:szCs w:val="20"/>
              </w:rPr>
              <w:t>Directorate</w:t>
            </w:r>
          </w:p>
        </w:tc>
        <w:tc>
          <w:tcPr>
            <w:tcW w:w="755" w:type="dxa"/>
            <w:tcBorders>
              <w:top w:val="single" w:sz="4" w:space="0" w:color="auto"/>
              <w:left w:val="single" w:sz="8" w:space="0" w:color="auto"/>
              <w:bottom w:val="single" w:sz="4" w:space="0" w:color="auto"/>
              <w:right w:val="single" w:sz="8" w:space="0" w:color="auto"/>
            </w:tcBorders>
          </w:tcPr>
          <w:p w14:paraId="45C7EE4F" w14:textId="213C666F" w:rsidR="001400A4" w:rsidRPr="008F737F" w:rsidRDefault="001400A4" w:rsidP="008F737F">
            <w:pPr>
              <w:jc w:val="center"/>
              <w:rPr>
                <w:sz w:val="20"/>
                <w:szCs w:val="20"/>
              </w:rPr>
            </w:pPr>
            <w:r w:rsidRPr="008F737F">
              <w:rPr>
                <w:rFonts w:eastAsia="Arial" w:cs="Arial"/>
                <w:b/>
                <w:bCs/>
                <w:color w:val="000000" w:themeColor="text1"/>
                <w:sz w:val="20"/>
                <w:szCs w:val="20"/>
              </w:rPr>
              <w:t>Good is</w:t>
            </w:r>
          </w:p>
        </w:tc>
        <w:tc>
          <w:tcPr>
            <w:tcW w:w="1413" w:type="dxa"/>
            <w:tcBorders>
              <w:top w:val="single" w:sz="4" w:space="0" w:color="auto"/>
              <w:left w:val="single" w:sz="8" w:space="0" w:color="auto"/>
              <w:bottom w:val="single" w:sz="4" w:space="0" w:color="auto"/>
              <w:right w:val="single" w:sz="8" w:space="0" w:color="auto"/>
            </w:tcBorders>
          </w:tcPr>
          <w:p w14:paraId="220E32C1" w14:textId="77777777" w:rsidR="001400A4" w:rsidRPr="008F737F" w:rsidRDefault="001400A4" w:rsidP="008F737F">
            <w:pPr>
              <w:jc w:val="center"/>
              <w:rPr>
                <w:sz w:val="20"/>
                <w:szCs w:val="20"/>
              </w:rPr>
            </w:pPr>
            <w:r w:rsidRPr="008F737F">
              <w:rPr>
                <w:rFonts w:eastAsia="Arial" w:cs="Arial"/>
                <w:b/>
                <w:bCs/>
                <w:color w:val="000000" w:themeColor="text1"/>
                <w:sz w:val="20"/>
                <w:szCs w:val="20"/>
              </w:rPr>
              <w:t>2019/20 Outturn</w:t>
            </w:r>
          </w:p>
        </w:tc>
        <w:tc>
          <w:tcPr>
            <w:tcW w:w="1572" w:type="dxa"/>
            <w:tcBorders>
              <w:top w:val="single" w:sz="4" w:space="0" w:color="auto"/>
              <w:left w:val="single" w:sz="8" w:space="0" w:color="auto"/>
              <w:bottom w:val="single" w:sz="4" w:space="0" w:color="auto"/>
              <w:right w:val="single" w:sz="8" w:space="0" w:color="auto"/>
            </w:tcBorders>
          </w:tcPr>
          <w:p w14:paraId="15BDD8BA" w14:textId="77777777" w:rsidR="001400A4" w:rsidRPr="008F737F" w:rsidRDefault="001400A4" w:rsidP="008F737F">
            <w:pPr>
              <w:jc w:val="center"/>
              <w:rPr>
                <w:sz w:val="20"/>
                <w:szCs w:val="20"/>
              </w:rPr>
            </w:pPr>
            <w:r w:rsidRPr="008F737F">
              <w:rPr>
                <w:rFonts w:eastAsia="Arial" w:cs="Arial"/>
                <w:b/>
                <w:bCs/>
                <w:color w:val="000000" w:themeColor="text1"/>
                <w:sz w:val="20"/>
                <w:szCs w:val="20"/>
              </w:rPr>
              <w:t>2020/21 Outturn</w:t>
            </w:r>
          </w:p>
        </w:tc>
        <w:tc>
          <w:tcPr>
            <w:tcW w:w="1559" w:type="dxa"/>
            <w:tcBorders>
              <w:top w:val="single" w:sz="4" w:space="0" w:color="auto"/>
              <w:left w:val="single" w:sz="8" w:space="0" w:color="auto"/>
              <w:bottom w:val="single" w:sz="4" w:space="0" w:color="auto"/>
              <w:right w:val="single" w:sz="8" w:space="0" w:color="auto"/>
            </w:tcBorders>
          </w:tcPr>
          <w:p w14:paraId="0968F583" w14:textId="754A5F19" w:rsidR="001400A4" w:rsidRPr="008F737F" w:rsidRDefault="001400A4" w:rsidP="008F737F">
            <w:pPr>
              <w:jc w:val="center"/>
              <w:rPr>
                <w:rFonts w:eastAsia="Arial" w:cs="Arial"/>
                <w:b/>
                <w:bCs/>
                <w:color w:val="808080" w:themeColor="background1" w:themeShade="80"/>
                <w:sz w:val="20"/>
                <w:szCs w:val="20"/>
              </w:rPr>
            </w:pPr>
            <w:r w:rsidRPr="008F737F">
              <w:rPr>
                <w:rFonts w:eastAsia="Arial" w:cs="Arial"/>
                <w:b/>
                <w:bCs/>
                <w:sz w:val="20"/>
                <w:szCs w:val="20"/>
              </w:rPr>
              <w:t>2021/22 Quarter</w:t>
            </w:r>
            <w:r w:rsidR="0A3FF9DD" w:rsidRPr="008F737F">
              <w:rPr>
                <w:rFonts w:eastAsia="Arial" w:cs="Arial"/>
                <w:b/>
                <w:bCs/>
                <w:sz w:val="20"/>
                <w:szCs w:val="20"/>
              </w:rPr>
              <w:t xml:space="preserve"> </w:t>
            </w:r>
            <w:r w:rsidRPr="008F737F">
              <w:rPr>
                <w:rFonts w:eastAsia="Arial" w:cs="Arial"/>
                <w:b/>
                <w:bCs/>
                <w:sz w:val="20"/>
                <w:szCs w:val="20"/>
              </w:rPr>
              <w:t>1</w:t>
            </w:r>
          </w:p>
          <w:p w14:paraId="2F301D68" w14:textId="253273C3" w:rsidR="001400A4" w:rsidRPr="008F737F" w:rsidRDefault="001400A4" w:rsidP="008F737F">
            <w:pPr>
              <w:jc w:val="center"/>
              <w:rPr>
                <w:rFonts w:eastAsia="Arial" w:cs="Arial"/>
                <w:b/>
                <w:bCs/>
                <w:color w:val="808080" w:themeColor="background1" w:themeShade="80"/>
                <w:sz w:val="20"/>
                <w:szCs w:val="20"/>
              </w:rPr>
            </w:pPr>
            <w:r w:rsidRPr="008F737F">
              <w:rPr>
                <w:rFonts w:eastAsia="Arial" w:cs="Arial"/>
                <w:b/>
                <w:bCs/>
                <w:sz w:val="20"/>
                <w:szCs w:val="20"/>
              </w:rPr>
              <w:t>(April –June)</w:t>
            </w:r>
          </w:p>
        </w:tc>
        <w:tc>
          <w:tcPr>
            <w:tcW w:w="1545" w:type="dxa"/>
            <w:tcBorders>
              <w:top w:val="single" w:sz="4" w:space="0" w:color="auto"/>
              <w:left w:val="single" w:sz="8" w:space="0" w:color="auto"/>
              <w:bottom w:val="single" w:sz="4" w:space="0" w:color="auto"/>
              <w:right w:val="single" w:sz="8" w:space="0" w:color="auto"/>
            </w:tcBorders>
          </w:tcPr>
          <w:p w14:paraId="009BEC86" w14:textId="55086EAD" w:rsidR="001400A4" w:rsidRPr="008F737F" w:rsidRDefault="001400A4" w:rsidP="008F737F">
            <w:pPr>
              <w:jc w:val="center"/>
              <w:rPr>
                <w:sz w:val="20"/>
                <w:szCs w:val="20"/>
              </w:rPr>
            </w:pPr>
            <w:r w:rsidRPr="008F737F">
              <w:rPr>
                <w:rFonts w:eastAsia="Arial" w:cs="Arial"/>
                <w:b/>
                <w:bCs/>
                <w:sz w:val="20"/>
                <w:szCs w:val="20"/>
              </w:rPr>
              <w:t>2021/</w:t>
            </w:r>
            <w:r w:rsidR="36354E04" w:rsidRPr="008F737F">
              <w:rPr>
                <w:rFonts w:eastAsia="Arial" w:cs="Arial"/>
                <w:b/>
                <w:bCs/>
                <w:sz w:val="20"/>
                <w:szCs w:val="20"/>
              </w:rPr>
              <w:t>22 Quarter</w:t>
            </w:r>
            <w:r w:rsidRPr="008F737F">
              <w:rPr>
                <w:rFonts w:eastAsia="Arial" w:cs="Arial"/>
                <w:b/>
                <w:bCs/>
                <w:sz w:val="20"/>
                <w:szCs w:val="20"/>
              </w:rPr>
              <w:t xml:space="preserve"> 2</w:t>
            </w:r>
          </w:p>
          <w:p w14:paraId="63E4DD58" w14:textId="1B8FC59A" w:rsidR="001400A4" w:rsidRPr="008F737F" w:rsidRDefault="001400A4" w:rsidP="008F737F">
            <w:pPr>
              <w:jc w:val="center"/>
              <w:rPr>
                <w:sz w:val="20"/>
                <w:szCs w:val="20"/>
              </w:rPr>
            </w:pPr>
            <w:r w:rsidRPr="008F737F">
              <w:rPr>
                <w:rFonts w:eastAsia="Arial" w:cs="Arial"/>
                <w:b/>
                <w:bCs/>
                <w:sz w:val="20"/>
                <w:szCs w:val="20"/>
              </w:rPr>
              <w:t>(July –Sep)</w:t>
            </w:r>
          </w:p>
        </w:tc>
        <w:tc>
          <w:tcPr>
            <w:tcW w:w="1545" w:type="dxa"/>
            <w:tcBorders>
              <w:top w:val="single" w:sz="4" w:space="0" w:color="auto"/>
              <w:left w:val="single" w:sz="8" w:space="0" w:color="auto"/>
              <w:bottom w:val="single" w:sz="4" w:space="0" w:color="auto"/>
              <w:right w:val="single" w:sz="8" w:space="0" w:color="auto"/>
            </w:tcBorders>
          </w:tcPr>
          <w:p w14:paraId="3642B704" w14:textId="00742C3F" w:rsidR="75F433BE" w:rsidRPr="008F737F" w:rsidRDefault="013166F6" w:rsidP="008F737F">
            <w:pPr>
              <w:jc w:val="center"/>
              <w:rPr>
                <w:sz w:val="20"/>
                <w:szCs w:val="20"/>
              </w:rPr>
            </w:pPr>
            <w:r w:rsidRPr="008F737F">
              <w:rPr>
                <w:rFonts w:eastAsia="Arial" w:cs="Arial"/>
                <w:b/>
                <w:bCs/>
                <w:sz w:val="20"/>
                <w:szCs w:val="20"/>
              </w:rPr>
              <w:t>2021/22 Quarter</w:t>
            </w:r>
            <w:r w:rsidR="07B29323" w:rsidRPr="008F737F">
              <w:rPr>
                <w:rFonts w:eastAsia="Arial" w:cs="Arial"/>
                <w:b/>
                <w:bCs/>
                <w:sz w:val="20"/>
                <w:szCs w:val="20"/>
              </w:rPr>
              <w:t xml:space="preserve"> </w:t>
            </w:r>
            <w:r w:rsidRPr="008F737F">
              <w:rPr>
                <w:rFonts w:eastAsia="Arial" w:cs="Arial"/>
                <w:b/>
                <w:bCs/>
                <w:sz w:val="20"/>
                <w:szCs w:val="20"/>
              </w:rPr>
              <w:t>3</w:t>
            </w:r>
          </w:p>
          <w:p w14:paraId="2EFA2D03" w14:textId="3689DCA3" w:rsidR="75F433BE" w:rsidRPr="008F737F" w:rsidRDefault="013166F6" w:rsidP="008F737F">
            <w:pPr>
              <w:jc w:val="center"/>
              <w:rPr>
                <w:b/>
                <w:bCs/>
                <w:color w:val="000000" w:themeColor="text1"/>
                <w:sz w:val="20"/>
                <w:szCs w:val="20"/>
              </w:rPr>
            </w:pPr>
            <w:r w:rsidRPr="008F737F">
              <w:rPr>
                <w:rFonts w:eastAsia="Arial" w:cs="Arial"/>
                <w:b/>
                <w:bCs/>
                <w:sz w:val="20"/>
                <w:szCs w:val="20"/>
              </w:rPr>
              <w:t>(Oct–Dec)</w:t>
            </w:r>
          </w:p>
        </w:tc>
        <w:tc>
          <w:tcPr>
            <w:tcW w:w="1455" w:type="dxa"/>
            <w:tcBorders>
              <w:top w:val="single" w:sz="4" w:space="0" w:color="auto"/>
              <w:left w:val="single" w:sz="8" w:space="0" w:color="auto"/>
              <w:bottom w:val="single" w:sz="4" w:space="0" w:color="auto"/>
              <w:right w:val="single" w:sz="4" w:space="0" w:color="auto"/>
            </w:tcBorders>
          </w:tcPr>
          <w:p w14:paraId="5E0C6C82" w14:textId="389A56A7" w:rsidR="001400A4" w:rsidRPr="008F737F" w:rsidRDefault="001400A4" w:rsidP="008F737F">
            <w:pPr>
              <w:jc w:val="center"/>
              <w:rPr>
                <w:rFonts w:eastAsia="Arial" w:cs="Arial"/>
                <w:b/>
                <w:bCs/>
                <w:color w:val="000000" w:themeColor="text1"/>
                <w:sz w:val="20"/>
                <w:szCs w:val="20"/>
              </w:rPr>
            </w:pPr>
            <w:r w:rsidRPr="008F737F">
              <w:rPr>
                <w:rFonts w:eastAsia="Arial" w:cs="Arial"/>
                <w:b/>
                <w:bCs/>
                <w:color w:val="000000" w:themeColor="text1"/>
                <w:sz w:val="20"/>
                <w:szCs w:val="20"/>
              </w:rPr>
              <w:t>202</w:t>
            </w:r>
            <w:r w:rsidR="00B604F1" w:rsidRPr="008F737F">
              <w:rPr>
                <w:rFonts w:eastAsia="Arial" w:cs="Arial"/>
                <w:b/>
                <w:bCs/>
                <w:color w:val="000000" w:themeColor="text1"/>
                <w:sz w:val="20"/>
                <w:szCs w:val="20"/>
              </w:rPr>
              <w:t>1</w:t>
            </w:r>
            <w:r w:rsidR="00656749" w:rsidRPr="008F737F">
              <w:rPr>
                <w:rFonts w:eastAsia="Arial" w:cs="Arial"/>
                <w:b/>
                <w:bCs/>
                <w:color w:val="000000" w:themeColor="text1"/>
                <w:sz w:val="20"/>
                <w:szCs w:val="20"/>
              </w:rPr>
              <w:t>/</w:t>
            </w:r>
            <w:r w:rsidRPr="008F737F">
              <w:rPr>
                <w:rFonts w:eastAsia="Arial" w:cs="Arial"/>
                <w:b/>
                <w:bCs/>
                <w:color w:val="000000" w:themeColor="text1"/>
                <w:sz w:val="20"/>
                <w:szCs w:val="20"/>
              </w:rPr>
              <w:t>2</w:t>
            </w:r>
            <w:r w:rsidR="00656749" w:rsidRPr="008F737F">
              <w:rPr>
                <w:rFonts w:eastAsia="Arial" w:cs="Arial"/>
                <w:b/>
                <w:bCs/>
                <w:color w:val="000000" w:themeColor="text1"/>
                <w:sz w:val="20"/>
                <w:szCs w:val="20"/>
              </w:rPr>
              <w:t>2</w:t>
            </w:r>
            <w:r w:rsidRPr="008F737F">
              <w:rPr>
                <w:rFonts w:eastAsia="Arial" w:cs="Arial"/>
                <w:b/>
                <w:bCs/>
                <w:color w:val="000000" w:themeColor="text1"/>
                <w:sz w:val="20"/>
                <w:szCs w:val="20"/>
              </w:rPr>
              <w:t xml:space="preserve"> Target</w:t>
            </w:r>
          </w:p>
        </w:tc>
      </w:tr>
      <w:tr w:rsidR="001400A4" w14:paraId="6123A62F" w14:textId="77777777" w:rsidTr="00613599">
        <w:trPr>
          <w:trHeight w:val="840"/>
        </w:trPr>
        <w:tc>
          <w:tcPr>
            <w:tcW w:w="1555" w:type="dxa"/>
            <w:tcBorders>
              <w:top w:val="single" w:sz="4" w:space="0" w:color="auto"/>
              <w:left w:val="single" w:sz="4" w:space="0" w:color="auto"/>
              <w:bottom w:val="single" w:sz="4" w:space="0" w:color="auto"/>
              <w:right w:val="single" w:sz="4" w:space="0" w:color="auto"/>
            </w:tcBorders>
          </w:tcPr>
          <w:p w14:paraId="2CF90732" w14:textId="3DF3B2DB" w:rsidR="001400A4" w:rsidRDefault="001400A4" w:rsidP="00A66D6E">
            <w:pPr>
              <w:jc w:val="left"/>
            </w:pPr>
            <w:r w:rsidRPr="0EA03FE1">
              <w:rPr>
                <w:rFonts w:eastAsia="Arial" w:cs="Arial"/>
                <w:color w:val="000000" w:themeColor="text1"/>
                <w:sz w:val="22"/>
                <w:szCs w:val="22"/>
              </w:rPr>
              <w:t>Number of working days per full time equivalent lost to sickness absence</w:t>
            </w:r>
            <w:r w:rsidR="2CB5DFDD" w:rsidRPr="0EA03FE1">
              <w:rPr>
                <w:rFonts w:eastAsia="Arial" w:cs="Arial"/>
                <w:color w:val="000000" w:themeColor="text1"/>
                <w:sz w:val="22"/>
                <w:szCs w:val="22"/>
              </w:rPr>
              <w:t xml:space="preserve"> (rolling year data)</w:t>
            </w:r>
            <w:r w:rsidRPr="0EA03FE1">
              <w:rPr>
                <w:rFonts w:eastAsia="Arial" w:cs="Arial"/>
                <w:color w:val="000000" w:themeColor="text1"/>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6895C242" w14:textId="77777777" w:rsidR="001400A4" w:rsidRDefault="001400A4" w:rsidP="00AB6544">
            <w:pPr>
              <w:jc w:val="left"/>
            </w:pPr>
            <w:r w:rsidRPr="62385CB5">
              <w:rPr>
                <w:rFonts w:eastAsia="Arial" w:cs="Arial"/>
                <w:color w:val="000000" w:themeColor="text1"/>
                <w:sz w:val="22"/>
                <w:szCs w:val="22"/>
              </w:rPr>
              <w:t xml:space="preserve">Quarterly </w:t>
            </w:r>
          </w:p>
        </w:tc>
        <w:tc>
          <w:tcPr>
            <w:tcW w:w="1276" w:type="dxa"/>
            <w:tcBorders>
              <w:top w:val="single" w:sz="4" w:space="0" w:color="auto"/>
              <w:left w:val="single" w:sz="4" w:space="0" w:color="auto"/>
              <w:bottom w:val="single" w:sz="4" w:space="0" w:color="auto"/>
              <w:right w:val="single" w:sz="4" w:space="0" w:color="auto"/>
            </w:tcBorders>
          </w:tcPr>
          <w:p w14:paraId="544A478D" w14:textId="77777777" w:rsidR="001400A4" w:rsidRDefault="001400A4" w:rsidP="00AB6544">
            <w:pPr>
              <w:jc w:val="left"/>
            </w:pPr>
            <w:r w:rsidRPr="62385CB5">
              <w:rPr>
                <w:rFonts w:eastAsia="Arial" w:cs="Arial"/>
                <w:color w:val="000000" w:themeColor="text1"/>
                <w:sz w:val="22"/>
                <w:szCs w:val="22"/>
              </w:rPr>
              <w:t xml:space="preserve">Chief Executive and Director of Resources </w:t>
            </w:r>
          </w:p>
        </w:tc>
        <w:tc>
          <w:tcPr>
            <w:tcW w:w="755" w:type="dxa"/>
            <w:tcBorders>
              <w:top w:val="single" w:sz="4" w:space="0" w:color="auto"/>
              <w:left w:val="single" w:sz="4" w:space="0" w:color="auto"/>
              <w:bottom w:val="single" w:sz="4" w:space="0" w:color="auto"/>
              <w:right w:val="single" w:sz="4" w:space="0" w:color="auto"/>
            </w:tcBorders>
          </w:tcPr>
          <w:p w14:paraId="40A7C371" w14:textId="77777777" w:rsidR="001400A4" w:rsidRDefault="001400A4" w:rsidP="00AB6544">
            <w:pPr>
              <w:jc w:val="left"/>
            </w:pPr>
            <w:r w:rsidRPr="62385CB5">
              <w:rPr>
                <w:rFonts w:eastAsia="Arial" w:cs="Arial"/>
                <w:color w:val="000000" w:themeColor="text1"/>
                <w:sz w:val="22"/>
                <w:szCs w:val="22"/>
              </w:rPr>
              <w:t xml:space="preserve">Low </w:t>
            </w:r>
          </w:p>
        </w:tc>
        <w:tc>
          <w:tcPr>
            <w:tcW w:w="1413" w:type="dxa"/>
            <w:tcBorders>
              <w:top w:val="single" w:sz="4" w:space="0" w:color="auto"/>
              <w:left w:val="single" w:sz="4" w:space="0" w:color="auto"/>
              <w:bottom w:val="single" w:sz="4" w:space="0" w:color="auto"/>
              <w:right w:val="single" w:sz="4" w:space="0" w:color="auto"/>
            </w:tcBorders>
            <w:shd w:val="clear" w:color="auto" w:fill="FF0000"/>
          </w:tcPr>
          <w:p w14:paraId="7F018A02" w14:textId="77777777" w:rsidR="001400A4" w:rsidRPr="009D11AE" w:rsidRDefault="001400A4" w:rsidP="00AB6544">
            <w:pPr>
              <w:jc w:val="center"/>
              <w:rPr>
                <w:color w:val="FFFFFF" w:themeColor="background1"/>
              </w:rPr>
            </w:pPr>
            <w:r w:rsidRPr="009D11AE">
              <w:rPr>
                <w:rFonts w:eastAsia="Arial" w:cs="Arial"/>
                <w:color w:val="FFFFFF" w:themeColor="background1"/>
                <w:sz w:val="22"/>
                <w:szCs w:val="22"/>
              </w:rPr>
              <w:t xml:space="preserve">Apr 2019 to March 2019 </w:t>
            </w:r>
          </w:p>
          <w:p w14:paraId="79186543" w14:textId="77777777" w:rsidR="001400A4" w:rsidRDefault="001400A4" w:rsidP="00AB6544">
            <w:pPr>
              <w:jc w:val="center"/>
            </w:pPr>
            <w:r w:rsidRPr="009D11AE">
              <w:rPr>
                <w:rFonts w:eastAsia="Arial" w:cs="Arial"/>
                <w:color w:val="FFFFFF" w:themeColor="background1"/>
                <w:sz w:val="22"/>
                <w:szCs w:val="22"/>
              </w:rPr>
              <w:t xml:space="preserve">12.39 days per FTE </w:t>
            </w:r>
          </w:p>
        </w:tc>
        <w:tc>
          <w:tcPr>
            <w:tcW w:w="15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F1A2F7" w14:textId="77777777" w:rsidR="001400A4" w:rsidRDefault="001400A4" w:rsidP="00AB6544">
            <w:pPr>
              <w:jc w:val="center"/>
            </w:pPr>
            <w:r w:rsidRPr="62385CB5">
              <w:rPr>
                <w:rFonts w:eastAsia="Arial" w:cs="Arial"/>
                <w:color w:val="000000" w:themeColor="text1"/>
                <w:sz w:val="22"/>
                <w:szCs w:val="22"/>
              </w:rPr>
              <w:t xml:space="preserve">Apr 2020 to March 2021 </w:t>
            </w:r>
          </w:p>
          <w:p w14:paraId="4C05BFA9" w14:textId="77777777" w:rsidR="001400A4" w:rsidRDefault="001400A4" w:rsidP="00AB6544">
            <w:pPr>
              <w:jc w:val="center"/>
            </w:pPr>
            <w:r w:rsidRPr="62385CB5">
              <w:rPr>
                <w:rFonts w:eastAsia="Arial" w:cs="Arial"/>
                <w:color w:val="000000" w:themeColor="text1"/>
                <w:sz w:val="22"/>
                <w:szCs w:val="22"/>
              </w:rPr>
              <w:t xml:space="preserve">10.76 days per FTE  </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14:paraId="13969FBF" w14:textId="77777777" w:rsidR="001400A4" w:rsidRPr="00511630" w:rsidRDefault="001400A4" w:rsidP="00AB6544">
            <w:pPr>
              <w:jc w:val="center"/>
              <w:rPr>
                <w:color w:val="FFFFFF" w:themeColor="background1"/>
              </w:rPr>
            </w:pPr>
            <w:r w:rsidRPr="00511630">
              <w:rPr>
                <w:rFonts w:eastAsia="Arial" w:cs="Arial"/>
                <w:color w:val="FFFFFF" w:themeColor="background1"/>
                <w:sz w:val="22"/>
                <w:szCs w:val="22"/>
              </w:rPr>
              <w:t xml:space="preserve">July 2020 to June 2021 </w:t>
            </w:r>
          </w:p>
          <w:p w14:paraId="147B24B4" w14:textId="77777777" w:rsidR="001400A4" w:rsidRPr="00511630" w:rsidRDefault="001400A4" w:rsidP="00AB6544">
            <w:pPr>
              <w:jc w:val="center"/>
              <w:rPr>
                <w:color w:val="FFFFFF" w:themeColor="background1"/>
              </w:rPr>
            </w:pPr>
            <w:r w:rsidRPr="00511630">
              <w:rPr>
                <w:rFonts w:eastAsia="Arial" w:cs="Arial"/>
                <w:color w:val="FFFFFF" w:themeColor="background1"/>
                <w:sz w:val="22"/>
                <w:szCs w:val="22"/>
              </w:rPr>
              <w:t xml:space="preserve">10.98 days per FTE </w:t>
            </w:r>
          </w:p>
          <w:p w14:paraId="533BB75A" w14:textId="77777777" w:rsidR="001400A4" w:rsidRDefault="001400A4" w:rsidP="00AB6544">
            <w:pPr>
              <w:jc w:val="center"/>
            </w:pPr>
            <w:r w:rsidRPr="62385CB5">
              <w:rPr>
                <w:rFonts w:ascii="Segoe UI" w:eastAsia="Segoe UI" w:hAnsi="Segoe UI" w:cs="Segoe UI"/>
                <w:color w:val="000000" w:themeColor="text1"/>
                <w:sz w:val="18"/>
                <w:szCs w:val="18"/>
              </w:rPr>
              <w:t xml:space="preserve"> </w:t>
            </w:r>
          </w:p>
        </w:tc>
        <w:tc>
          <w:tcPr>
            <w:tcW w:w="1545" w:type="dxa"/>
            <w:tcBorders>
              <w:top w:val="single" w:sz="4" w:space="0" w:color="auto"/>
              <w:left w:val="single" w:sz="4" w:space="0" w:color="auto"/>
              <w:bottom w:val="single" w:sz="4" w:space="0" w:color="auto"/>
              <w:right w:val="single" w:sz="4" w:space="0" w:color="auto"/>
            </w:tcBorders>
            <w:shd w:val="clear" w:color="auto" w:fill="FF0000"/>
          </w:tcPr>
          <w:p w14:paraId="346F4EBD" w14:textId="3AC256AA" w:rsidR="008E7297" w:rsidRPr="00511630" w:rsidRDefault="001C23E4" w:rsidP="008E7297">
            <w:pPr>
              <w:jc w:val="center"/>
              <w:rPr>
                <w:color w:val="FFFFFF" w:themeColor="background1"/>
              </w:rPr>
            </w:pPr>
            <w:r>
              <w:rPr>
                <w:rFonts w:eastAsia="Arial" w:cs="Arial"/>
                <w:color w:val="FFFFFF" w:themeColor="background1"/>
                <w:sz w:val="22"/>
                <w:szCs w:val="22"/>
              </w:rPr>
              <w:t>October</w:t>
            </w:r>
            <w:r w:rsidR="008E7297" w:rsidRPr="00511630">
              <w:rPr>
                <w:rFonts w:eastAsia="Arial" w:cs="Arial"/>
                <w:color w:val="FFFFFF" w:themeColor="background1"/>
                <w:sz w:val="22"/>
                <w:szCs w:val="22"/>
              </w:rPr>
              <w:t xml:space="preserve"> 2020 to September 2021 </w:t>
            </w:r>
          </w:p>
          <w:p w14:paraId="2D2C766B" w14:textId="57CFECF5" w:rsidR="008E7297" w:rsidRPr="00511630" w:rsidRDefault="008E7297" w:rsidP="008E7297">
            <w:pPr>
              <w:jc w:val="center"/>
              <w:rPr>
                <w:color w:val="FFFFFF" w:themeColor="background1"/>
              </w:rPr>
            </w:pPr>
            <w:r w:rsidRPr="00511630">
              <w:rPr>
                <w:rFonts w:eastAsia="Arial" w:cs="Arial"/>
                <w:color w:val="FFFFFF" w:themeColor="background1"/>
                <w:sz w:val="22"/>
                <w:szCs w:val="22"/>
              </w:rPr>
              <w:t xml:space="preserve">11.77 days per FTE </w:t>
            </w:r>
          </w:p>
          <w:p w14:paraId="34F5C6BF" w14:textId="51E6B753" w:rsidR="001400A4" w:rsidRDefault="001400A4" w:rsidP="00AB6544">
            <w:pPr>
              <w:jc w:val="center"/>
            </w:pPr>
          </w:p>
        </w:tc>
        <w:tc>
          <w:tcPr>
            <w:tcW w:w="1545" w:type="dxa"/>
            <w:tcBorders>
              <w:top w:val="single" w:sz="4" w:space="0" w:color="auto"/>
              <w:left w:val="single" w:sz="4" w:space="0" w:color="auto"/>
              <w:bottom w:val="single" w:sz="4" w:space="0" w:color="auto"/>
              <w:right w:val="single" w:sz="4" w:space="0" w:color="auto"/>
            </w:tcBorders>
            <w:shd w:val="clear" w:color="auto" w:fill="FF0000"/>
          </w:tcPr>
          <w:p w14:paraId="1AC3FADB" w14:textId="768C741F" w:rsidR="75F433BE" w:rsidRDefault="00F27DE7" w:rsidP="114D10C4">
            <w:pPr>
              <w:jc w:val="center"/>
              <w:rPr>
                <w:rFonts w:eastAsia="Arial" w:cs="Arial"/>
                <w:color w:val="FFFFFF" w:themeColor="background1"/>
                <w:sz w:val="22"/>
                <w:szCs w:val="22"/>
              </w:rPr>
            </w:pPr>
            <w:r>
              <w:rPr>
                <w:rFonts w:eastAsia="Arial" w:cs="Arial"/>
                <w:color w:val="FFFFFF" w:themeColor="background1"/>
                <w:sz w:val="22"/>
                <w:szCs w:val="22"/>
              </w:rPr>
              <w:t>January</w:t>
            </w:r>
            <w:r w:rsidR="552DD9B4" w:rsidRPr="114D10C4">
              <w:rPr>
                <w:rFonts w:eastAsia="Arial" w:cs="Arial"/>
                <w:color w:val="FFFFFF" w:themeColor="background1"/>
                <w:sz w:val="22"/>
                <w:szCs w:val="22"/>
              </w:rPr>
              <w:t xml:space="preserve"> 202</w:t>
            </w:r>
            <w:r w:rsidR="00F21F30">
              <w:rPr>
                <w:rFonts w:eastAsia="Arial" w:cs="Arial"/>
                <w:color w:val="FFFFFF" w:themeColor="background1"/>
                <w:sz w:val="22"/>
                <w:szCs w:val="22"/>
              </w:rPr>
              <w:t>1</w:t>
            </w:r>
            <w:r w:rsidR="552DD9B4" w:rsidRPr="114D10C4">
              <w:rPr>
                <w:rFonts w:eastAsia="Arial" w:cs="Arial"/>
                <w:color w:val="FFFFFF" w:themeColor="background1"/>
                <w:sz w:val="22"/>
                <w:szCs w:val="22"/>
              </w:rPr>
              <w:t xml:space="preserve"> to December 2021 </w:t>
            </w:r>
          </w:p>
          <w:p w14:paraId="04CD1714" w14:textId="04EF8991" w:rsidR="75F433BE" w:rsidRDefault="552DD9B4" w:rsidP="114D10C4">
            <w:pPr>
              <w:jc w:val="center"/>
              <w:rPr>
                <w:rFonts w:eastAsia="Arial" w:cs="Arial"/>
                <w:color w:val="FFFFFF" w:themeColor="background1"/>
                <w:sz w:val="22"/>
                <w:szCs w:val="22"/>
              </w:rPr>
            </w:pPr>
            <w:r w:rsidRPr="114D10C4">
              <w:rPr>
                <w:rFonts w:eastAsia="Arial" w:cs="Arial"/>
                <w:color w:val="FFFFFF" w:themeColor="background1"/>
                <w:sz w:val="22"/>
                <w:szCs w:val="22"/>
              </w:rPr>
              <w:t>12.68 days per FTE</w:t>
            </w:r>
          </w:p>
          <w:p w14:paraId="219FF61B" w14:textId="61A3B135" w:rsidR="75F433BE" w:rsidRDefault="75F433BE" w:rsidP="75F433BE">
            <w:pPr>
              <w:jc w:val="center"/>
              <w:rPr>
                <w:color w:val="000000" w:themeColor="text1"/>
              </w:rPr>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E11B" w14:textId="77777777" w:rsidR="00656749" w:rsidRDefault="001400A4" w:rsidP="00AB6544">
            <w:pPr>
              <w:jc w:val="center"/>
              <w:rPr>
                <w:rFonts w:eastAsia="Arial" w:cs="Arial"/>
                <w:color w:val="000000" w:themeColor="text1"/>
                <w:sz w:val="22"/>
                <w:szCs w:val="22"/>
              </w:rPr>
            </w:pPr>
            <w:r w:rsidRPr="62385CB5">
              <w:rPr>
                <w:rFonts w:eastAsia="Arial" w:cs="Arial"/>
                <w:color w:val="000000" w:themeColor="text1"/>
                <w:sz w:val="22"/>
                <w:szCs w:val="22"/>
              </w:rPr>
              <w:t>9.83 days per FTE</w:t>
            </w:r>
          </w:p>
          <w:p w14:paraId="53D65910" w14:textId="63E7AA1F" w:rsidR="001400A4" w:rsidRPr="004267F4" w:rsidRDefault="00656749" w:rsidP="00964A4C">
            <w:pPr>
              <w:pStyle w:val="NoSpacing"/>
              <w:jc w:val="center"/>
              <w:rPr>
                <w:rFonts w:ascii="Arial" w:hAnsi="Arial" w:cs="Arial"/>
              </w:rPr>
            </w:pPr>
            <w:r w:rsidRPr="004267F4">
              <w:rPr>
                <w:rFonts w:ascii="Arial" w:hAnsi="Arial" w:cs="Arial"/>
              </w:rPr>
              <w:t>(</w:t>
            </w:r>
            <w:r w:rsidR="005965B6" w:rsidRPr="004267F4">
              <w:rPr>
                <w:rFonts w:ascii="Arial" w:hAnsi="Arial" w:cs="Arial"/>
              </w:rPr>
              <w:t>Target</w:t>
            </w:r>
            <w:r w:rsidR="00C71597">
              <w:rPr>
                <w:rFonts w:ascii="Arial" w:hAnsi="Arial" w:cs="Arial"/>
              </w:rPr>
              <w:t xml:space="preserve"> pending </w:t>
            </w:r>
            <w:r w:rsidRPr="004267F4">
              <w:rPr>
                <w:rFonts w:ascii="Arial" w:hAnsi="Arial" w:cs="Arial"/>
              </w:rPr>
              <w:t>review)</w:t>
            </w:r>
          </w:p>
        </w:tc>
      </w:tr>
      <w:tr w:rsidR="001400A4" w14:paraId="2B48829F" w14:textId="77777777" w:rsidTr="005548BD">
        <w:trPr>
          <w:trHeight w:val="1275"/>
        </w:trPr>
        <w:tc>
          <w:tcPr>
            <w:tcW w:w="1555" w:type="dxa"/>
            <w:tcBorders>
              <w:top w:val="single" w:sz="4" w:space="0" w:color="auto"/>
              <w:left w:val="single" w:sz="4" w:space="0" w:color="auto"/>
              <w:bottom w:val="single" w:sz="8" w:space="0" w:color="auto"/>
              <w:right w:val="single" w:sz="4" w:space="0" w:color="auto"/>
            </w:tcBorders>
          </w:tcPr>
          <w:p w14:paraId="57795969" w14:textId="443C0430" w:rsidR="001400A4" w:rsidRDefault="001400A4" w:rsidP="00AB6544">
            <w:pPr>
              <w:jc w:val="left"/>
            </w:pPr>
            <w:r w:rsidRPr="4E6013FB">
              <w:rPr>
                <w:rFonts w:eastAsia="Arial" w:cs="Arial"/>
                <w:color w:val="000000" w:themeColor="text1"/>
                <w:sz w:val="22"/>
                <w:szCs w:val="22"/>
              </w:rPr>
              <w:t>Revenue forecast outturn % variance to budget</w:t>
            </w:r>
          </w:p>
        </w:tc>
        <w:tc>
          <w:tcPr>
            <w:tcW w:w="1275" w:type="dxa"/>
            <w:tcBorders>
              <w:top w:val="single" w:sz="4" w:space="0" w:color="auto"/>
              <w:left w:val="single" w:sz="4" w:space="0" w:color="auto"/>
              <w:bottom w:val="single" w:sz="8" w:space="0" w:color="auto"/>
              <w:right w:val="single" w:sz="4" w:space="0" w:color="auto"/>
            </w:tcBorders>
          </w:tcPr>
          <w:p w14:paraId="6567EA4F" w14:textId="77777777" w:rsidR="001400A4" w:rsidRDefault="001400A4" w:rsidP="00AB6544">
            <w:pPr>
              <w:jc w:val="left"/>
            </w:pPr>
            <w:r w:rsidRPr="62385CB5">
              <w:rPr>
                <w:rFonts w:eastAsia="Arial" w:cs="Arial"/>
                <w:color w:val="000000" w:themeColor="text1"/>
                <w:sz w:val="22"/>
                <w:szCs w:val="22"/>
              </w:rPr>
              <w:t xml:space="preserve">Quarterly </w:t>
            </w:r>
          </w:p>
        </w:tc>
        <w:tc>
          <w:tcPr>
            <w:tcW w:w="1276" w:type="dxa"/>
            <w:tcBorders>
              <w:top w:val="single" w:sz="4" w:space="0" w:color="auto"/>
              <w:left w:val="single" w:sz="4" w:space="0" w:color="auto"/>
              <w:bottom w:val="single" w:sz="8" w:space="0" w:color="auto"/>
              <w:right w:val="single" w:sz="4" w:space="0" w:color="auto"/>
            </w:tcBorders>
          </w:tcPr>
          <w:p w14:paraId="5E94B862" w14:textId="512B666F" w:rsidR="001400A4" w:rsidRDefault="001400A4" w:rsidP="00AB6544">
            <w:pPr>
              <w:jc w:val="left"/>
            </w:pPr>
            <w:r w:rsidRPr="4E6013FB">
              <w:rPr>
                <w:rFonts w:eastAsia="Arial" w:cs="Arial"/>
                <w:color w:val="000000" w:themeColor="text1"/>
                <w:sz w:val="22"/>
                <w:szCs w:val="22"/>
              </w:rPr>
              <w:t>Chief Executive and Director of Resources</w:t>
            </w:r>
          </w:p>
        </w:tc>
        <w:tc>
          <w:tcPr>
            <w:tcW w:w="755" w:type="dxa"/>
            <w:tcBorders>
              <w:top w:val="single" w:sz="4" w:space="0" w:color="auto"/>
              <w:left w:val="single" w:sz="4" w:space="0" w:color="auto"/>
              <w:bottom w:val="single" w:sz="8" w:space="0" w:color="auto"/>
              <w:right w:val="single" w:sz="4" w:space="0" w:color="auto"/>
            </w:tcBorders>
          </w:tcPr>
          <w:p w14:paraId="0A725FB9" w14:textId="77777777" w:rsidR="001400A4" w:rsidRDefault="001400A4" w:rsidP="00AB6544">
            <w:pPr>
              <w:jc w:val="left"/>
            </w:pPr>
            <w:r w:rsidRPr="62385CB5">
              <w:rPr>
                <w:rFonts w:eastAsia="Arial" w:cs="Arial"/>
                <w:color w:val="000000" w:themeColor="text1"/>
                <w:sz w:val="22"/>
                <w:szCs w:val="22"/>
              </w:rPr>
              <w:t xml:space="preserve">Low </w:t>
            </w:r>
          </w:p>
        </w:tc>
        <w:tc>
          <w:tcPr>
            <w:tcW w:w="1413" w:type="dxa"/>
            <w:tcBorders>
              <w:top w:val="single" w:sz="4" w:space="0" w:color="auto"/>
              <w:left w:val="single" w:sz="4" w:space="0" w:color="auto"/>
              <w:bottom w:val="single" w:sz="8" w:space="0" w:color="auto"/>
              <w:right w:val="single" w:sz="4" w:space="0" w:color="auto"/>
            </w:tcBorders>
            <w:shd w:val="clear" w:color="auto" w:fill="F7CAAC" w:themeFill="accent2" w:themeFillTint="66"/>
          </w:tcPr>
          <w:p w14:paraId="60CEE0B2" w14:textId="77777777" w:rsidR="001400A4" w:rsidRDefault="001400A4" w:rsidP="00AB6544">
            <w:pPr>
              <w:jc w:val="center"/>
            </w:pPr>
            <w:r w:rsidRPr="62385CB5">
              <w:rPr>
                <w:rFonts w:eastAsia="Arial" w:cs="Arial"/>
                <w:color w:val="000000" w:themeColor="text1"/>
                <w:sz w:val="22"/>
                <w:szCs w:val="22"/>
              </w:rPr>
              <w:t xml:space="preserve">0.22% </w:t>
            </w:r>
          </w:p>
        </w:tc>
        <w:tc>
          <w:tcPr>
            <w:tcW w:w="1572"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7B8EF81C" w14:textId="77777777" w:rsidR="001400A4" w:rsidRDefault="001400A4" w:rsidP="00AB6544">
            <w:pPr>
              <w:jc w:val="center"/>
            </w:pPr>
            <w:r w:rsidRPr="62385CB5">
              <w:rPr>
                <w:rFonts w:eastAsia="Arial" w:cs="Arial"/>
                <w:color w:val="000000" w:themeColor="text1"/>
                <w:sz w:val="22"/>
                <w:szCs w:val="22"/>
              </w:rPr>
              <w:t xml:space="preserve">-2.28% </w:t>
            </w:r>
          </w:p>
        </w:tc>
        <w:tc>
          <w:tcPr>
            <w:tcW w:w="1559"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36D13625" w14:textId="77777777" w:rsidR="001400A4" w:rsidRPr="00567CD5" w:rsidRDefault="001400A4" w:rsidP="00AB6544">
            <w:pPr>
              <w:jc w:val="center"/>
              <w:rPr>
                <w:sz w:val="22"/>
                <w:szCs w:val="22"/>
              </w:rPr>
            </w:pPr>
            <w:r w:rsidRPr="00567CD5">
              <w:rPr>
                <w:rFonts w:cs="Arial"/>
                <w:sz w:val="22"/>
                <w:szCs w:val="22"/>
                <w:lang w:eastAsia="en-GB"/>
              </w:rPr>
              <w:t>-0.59%</w:t>
            </w:r>
            <w:r w:rsidRPr="00567CD5">
              <w:rPr>
                <w:rFonts w:ascii="Segoe UI" w:eastAsia="Segoe UI" w:hAnsi="Segoe UI" w:cs="Segoe UI"/>
                <w:color w:val="000000" w:themeColor="text1"/>
                <w:sz w:val="22"/>
                <w:szCs w:val="22"/>
              </w:rPr>
              <w:t xml:space="preserve"> </w:t>
            </w:r>
          </w:p>
        </w:tc>
        <w:tc>
          <w:tcPr>
            <w:tcW w:w="1545"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1316F98B" w14:textId="64F8EE36" w:rsidR="001400A4" w:rsidRPr="00567CD5" w:rsidRDefault="00567CD5" w:rsidP="00AB6544">
            <w:pPr>
              <w:jc w:val="center"/>
              <w:rPr>
                <w:sz w:val="22"/>
                <w:szCs w:val="22"/>
              </w:rPr>
            </w:pPr>
            <w:r w:rsidRPr="00567CD5">
              <w:rPr>
                <w:sz w:val="22"/>
                <w:szCs w:val="22"/>
              </w:rPr>
              <w:t>-1.87%</w:t>
            </w:r>
          </w:p>
        </w:tc>
        <w:tc>
          <w:tcPr>
            <w:tcW w:w="1545" w:type="dxa"/>
            <w:tcBorders>
              <w:top w:val="single" w:sz="4" w:space="0" w:color="auto"/>
              <w:left w:val="single" w:sz="4" w:space="0" w:color="auto"/>
              <w:bottom w:val="single" w:sz="8" w:space="0" w:color="auto"/>
              <w:right w:val="single" w:sz="4" w:space="0" w:color="auto"/>
            </w:tcBorders>
            <w:shd w:val="clear" w:color="auto" w:fill="F7CAAC" w:themeFill="accent2" w:themeFillTint="66"/>
          </w:tcPr>
          <w:p w14:paraId="18B1A861" w14:textId="55A06413" w:rsidR="75F433BE" w:rsidRDefault="005548BD" w:rsidP="75F433BE">
            <w:pPr>
              <w:jc w:val="center"/>
              <w:rPr>
                <w:color w:val="000000" w:themeColor="text1"/>
              </w:rPr>
            </w:pPr>
            <w:r>
              <w:rPr>
                <w:rFonts w:cs="Arial"/>
                <w:sz w:val="20"/>
                <w:szCs w:val="20"/>
                <w:lang w:eastAsia="en-GB"/>
              </w:rPr>
              <w:t>-</w:t>
            </w:r>
            <w:r w:rsidR="00FE5158">
              <w:rPr>
                <w:rFonts w:cs="Arial"/>
                <w:sz w:val="20"/>
                <w:szCs w:val="20"/>
                <w:lang w:eastAsia="en-GB"/>
              </w:rPr>
              <w:t>2.66%</w:t>
            </w:r>
          </w:p>
        </w:tc>
        <w:tc>
          <w:tcPr>
            <w:tcW w:w="1455" w:type="dxa"/>
            <w:tcBorders>
              <w:top w:val="single" w:sz="4" w:space="0" w:color="auto"/>
              <w:left w:val="single" w:sz="4" w:space="0" w:color="auto"/>
              <w:bottom w:val="single" w:sz="8" w:space="0" w:color="auto"/>
              <w:right w:val="single" w:sz="4" w:space="0" w:color="auto"/>
            </w:tcBorders>
            <w:shd w:val="clear" w:color="auto" w:fill="FFFFFF" w:themeFill="background1"/>
          </w:tcPr>
          <w:p w14:paraId="737003A3" w14:textId="77777777" w:rsidR="001400A4" w:rsidRDefault="001400A4" w:rsidP="00AB6544">
            <w:pPr>
              <w:jc w:val="center"/>
            </w:pPr>
            <w:r w:rsidRPr="62385CB5">
              <w:rPr>
                <w:rFonts w:ascii="Calibri" w:hAnsi="Calibri" w:cs="Calibri"/>
                <w:color w:val="000000" w:themeColor="text1"/>
                <w:sz w:val="22"/>
                <w:szCs w:val="22"/>
              </w:rPr>
              <w:t xml:space="preserve"> </w:t>
            </w:r>
            <w:r w:rsidRPr="62385CB5">
              <w:rPr>
                <w:rFonts w:eastAsia="Arial" w:cs="Arial"/>
                <w:color w:val="000000" w:themeColor="text1"/>
                <w:sz w:val="22"/>
                <w:szCs w:val="22"/>
              </w:rPr>
              <w:t>0%</w:t>
            </w:r>
          </w:p>
        </w:tc>
      </w:tr>
    </w:tbl>
    <w:p w14:paraId="0ADEDC15" w14:textId="77777777" w:rsidR="009623F8" w:rsidRDefault="009623F8" w:rsidP="00794DD3">
      <w:pPr>
        <w:rPr>
          <w:rFonts w:cs="Arial"/>
          <w:b/>
          <w:bCs/>
          <w:color w:val="auto"/>
          <w:sz w:val="22"/>
          <w:szCs w:val="22"/>
        </w:rPr>
      </w:pPr>
    </w:p>
    <w:p w14:paraId="739F1B79" w14:textId="66EBB950" w:rsidR="00794DD3" w:rsidRDefault="00794DD3" w:rsidP="114D10C4">
      <w:r w:rsidRPr="114D10C4">
        <w:rPr>
          <w:b/>
          <w:bCs/>
        </w:rPr>
        <w:t xml:space="preserve">Sickness absence. </w:t>
      </w:r>
      <w:r w:rsidR="00493361">
        <w:rPr>
          <w:rFonts w:eastAsia="Arial" w:cs="Arial"/>
          <w:color w:val="000000" w:themeColor="text1"/>
        </w:rPr>
        <w:t xml:space="preserve">There has been </w:t>
      </w:r>
      <w:r w:rsidR="5DD99F86" w:rsidRPr="114D10C4">
        <w:rPr>
          <w:rFonts w:eastAsia="Arial" w:cs="Arial"/>
          <w:color w:val="000000" w:themeColor="text1"/>
        </w:rPr>
        <w:t xml:space="preserve">a steady rise in </w:t>
      </w:r>
      <w:r w:rsidR="00B85C88">
        <w:rPr>
          <w:rFonts w:eastAsia="Arial" w:cs="Arial"/>
          <w:color w:val="000000" w:themeColor="text1"/>
        </w:rPr>
        <w:t>sickness absence</w:t>
      </w:r>
      <w:r w:rsidR="5DD99F86" w:rsidRPr="114D10C4">
        <w:rPr>
          <w:rFonts w:eastAsia="Arial" w:cs="Arial"/>
          <w:color w:val="000000" w:themeColor="text1"/>
        </w:rPr>
        <w:t xml:space="preserve"> which has increased each month since May </w:t>
      </w:r>
      <w:r w:rsidR="006633E6">
        <w:rPr>
          <w:rFonts w:eastAsia="Arial" w:cs="Arial"/>
          <w:color w:val="000000" w:themeColor="text1"/>
        </w:rPr>
        <w:t>20</w:t>
      </w:r>
      <w:r w:rsidR="5DD99F86" w:rsidRPr="114D10C4">
        <w:rPr>
          <w:rFonts w:eastAsia="Arial" w:cs="Arial"/>
          <w:color w:val="000000" w:themeColor="text1"/>
        </w:rPr>
        <w:t xml:space="preserve">21, following </w:t>
      </w:r>
      <w:r w:rsidR="00493361">
        <w:rPr>
          <w:rFonts w:eastAsia="Arial" w:cs="Arial"/>
          <w:color w:val="000000" w:themeColor="text1"/>
        </w:rPr>
        <w:t>the</w:t>
      </w:r>
      <w:r w:rsidR="5DD99F86" w:rsidRPr="114D10C4">
        <w:rPr>
          <w:rFonts w:eastAsia="Arial" w:cs="Arial"/>
          <w:color w:val="000000" w:themeColor="text1"/>
        </w:rPr>
        <w:t xml:space="preserve"> lowest </w:t>
      </w:r>
      <w:r w:rsidR="004A0015">
        <w:rPr>
          <w:rFonts w:eastAsia="Arial" w:cs="Arial"/>
          <w:color w:val="000000" w:themeColor="text1"/>
        </w:rPr>
        <w:t>reported</w:t>
      </w:r>
      <w:r w:rsidR="5DD99F86" w:rsidRPr="114D10C4">
        <w:rPr>
          <w:rFonts w:eastAsia="Arial" w:cs="Arial"/>
          <w:color w:val="000000" w:themeColor="text1"/>
        </w:rPr>
        <w:t xml:space="preserve"> figures in Apr </w:t>
      </w:r>
      <w:r w:rsidR="006633E6">
        <w:rPr>
          <w:rFonts w:eastAsia="Arial" w:cs="Arial"/>
          <w:color w:val="000000" w:themeColor="text1"/>
        </w:rPr>
        <w:t>20</w:t>
      </w:r>
      <w:r w:rsidR="5DD99F86" w:rsidRPr="114D10C4">
        <w:rPr>
          <w:rFonts w:eastAsia="Arial" w:cs="Arial"/>
          <w:color w:val="000000" w:themeColor="text1"/>
        </w:rPr>
        <w:t>21 (10.64</w:t>
      </w:r>
      <w:r w:rsidR="004A0015">
        <w:rPr>
          <w:rFonts w:eastAsia="Arial" w:cs="Arial"/>
          <w:color w:val="000000" w:themeColor="text1"/>
        </w:rPr>
        <w:t xml:space="preserve"> </w:t>
      </w:r>
      <w:r w:rsidR="00EC71BE">
        <w:rPr>
          <w:rFonts w:eastAsia="Arial" w:cs="Arial"/>
          <w:color w:val="000000" w:themeColor="text1"/>
        </w:rPr>
        <w:t xml:space="preserve">days </w:t>
      </w:r>
      <w:r w:rsidR="007831B1">
        <w:rPr>
          <w:rFonts w:eastAsia="Arial" w:cs="Arial"/>
          <w:color w:val="000000" w:themeColor="text1"/>
        </w:rPr>
        <w:t xml:space="preserve">of absence </w:t>
      </w:r>
      <w:r w:rsidR="00EC71BE">
        <w:rPr>
          <w:rFonts w:eastAsia="Arial" w:cs="Arial"/>
          <w:color w:val="000000" w:themeColor="text1"/>
        </w:rPr>
        <w:t xml:space="preserve">per FTE </w:t>
      </w:r>
      <w:r w:rsidR="00CE663B">
        <w:rPr>
          <w:rFonts w:eastAsia="Arial" w:cs="Arial"/>
          <w:color w:val="000000" w:themeColor="text1"/>
        </w:rPr>
        <w:t>from</w:t>
      </w:r>
      <w:r w:rsidR="004A0015">
        <w:rPr>
          <w:rFonts w:eastAsia="Arial" w:cs="Arial"/>
          <w:color w:val="000000" w:themeColor="text1"/>
        </w:rPr>
        <w:t xml:space="preserve"> May 2020 </w:t>
      </w:r>
      <w:r w:rsidR="00493361">
        <w:rPr>
          <w:rFonts w:eastAsia="Arial" w:cs="Arial"/>
          <w:color w:val="000000" w:themeColor="text1"/>
        </w:rPr>
        <w:t>to</w:t>
      </w:r>
      <w:r w:rsidR="004A0015">
        <w:rPr>
          <w:rFonts w:eastAsia="Arial" w:cs="Arial"/>
          <w:color w:val="000000" w:themeColor="text1"/>
        </w:rPr>
        <w:t xml:space="preserve"> April 2021</w:t>
      </w:r>
      <w:r w:rsidR="5DD99F86" w:rsidRPr="114D10C4">
        <w:rPr>
          <w:rFonts w:eastAsia="Arial" w:cs="Arial"/>
          <w:color w:val="000000" w:themeColor="text1"/>
        </w:rPr>
        <w:t>)</w:t>
      </w:r>
      <w:r w:rsidR="004A0015">
        <w:rPr>
          <w:rFonts w:eastAsia="Arial" w:cs="Arial"/>
          <w:color w:val="000000" w:themeColor="text1"/>
        </w:rPr>
        <w:t xml:space="preserve">. </w:t>
      </w:r>
      <w:r w:rsidR="00CE663B">
        <w:rPr>
          <w:rFonts w:eastAsia="Arial" w:cs="Arial"/>
          <w:color w:val="000000" w:themeColor="text1"/>
        </w:rPr>
        <w:t>The Q3 figure</w:t>
      </w:r>
      <w:r w:rsidR="004E28F6">
        <w:rPr>
          <w:rFonts w:eastAsia="Arial" w:cs="Arial"/>
          <w:color w:val="000000" w:themeColor="text1"/>
        </w:rPr>
        <w:t xml:space="preserve"> </w:t>
      </w:r>
      <w:r w:rsidR="00CE663B">
        <w:rPr>
          <w:rFonts w:eastAsia="Arial" w:cs="Arial"/>
          <w:color w:val="000000" w:themeColor="text1"/>
        </w:rPr>
        <w:t>(</w:t>
      </w:r>
      <w:r w:rsidR="00F27DE7">
        <w:rPr>
          <w:rFonts w:eastAsia="Arial" w:cs="Arial"/>
          <w:color w:val="000000" w:themeColor="text1"/>
        </w:rPr>
        <w:t xml:space="preserve">January </w:t>
      </w:r>
      <w:r w:rsidR="00CE7EC5">
        <w:rPr>
          <w:rFonts w:eastAsia="Arial" w:cs="Arial"/>
          <w:color w:val="000000" w:themeColor="text1"/>
        </w:rPr>
        <w:t>to</w:t>
      </w:r>
      <w:r w:rsidR="5DD99F86" w:rsidRPr="114D10C4">
        <w:rPr>
          <w:rFonts w:eastAsia="Arial" w:cs="Arial"/>
          <w:color w:val="000000" w:themeColor="text1"/>
        </w:rPr>
        <w:t xml:space="preserve"> December </w:t>
      </w:r>
      <w:r w:rsidR="00352F8F">
        <w:rPr>
          <w:rFonts w:eastAsia="Arial" w:cs="Arial"/>
          <w:color w:val="000000" w:themeColor="text1"/>
        </w:rPr>
        <w:t>2021</w:t>
      </w:r>
      <w:r w:rsidR="00CE663B">
        <w:rPr>
          <w:rFonts w:eastAsia="Arial" w:cs="Arial"/>
          <w:color w:val="000000" w:themeColor="text1"/>
        </w:rPr>
        <w:t>)</w:t>
      </w:r>
      <w:r w:rsidR="00CE7EC5">
        <w:rPr>
          <w:rFonts w:eastAsia="Arial" w:cs="Arial"/>
          <w:color w:val="000000" w:themeColor="text1"/>
        </w:rPr>
        <w:t xml:space="preserve"> was</w:t>
      </w:r>
      <w:r w:rsidR="5DD99F86" w:rsidRPr="114D10C4">
        <w:rPr>
          <w:rFonts w:eastAsia="Arial" w:cs="Arial"/>
          <w:color w:val="000000" w:themeColor="text1"/>
        </w:rPr>
        <w:t xml:space="preserve"> 12.68 </w:t>
      </w:r>
      <w:r w:rsidR="00F97F83">
        <w:rPr>
          <w:rFonts w:eastAsia="Arial" w:cs="Arial"/>
          <w:color w:val="000000" w:themeColor="text1"/>
        </w:rPr>
        <w:t xml:space="preserve">days </w:t>
      </w:r>
      <w:r w:rsidR="00CE7EC5">
        <w:rPr>
          <w:rFonts w:eastAsia="Arial" w:cs="Arial"/>
          <w:color w:val="000000" w:themeColor="text1"/>
        </w:rPr>
        <w:t xml:space="preserve">of absence </w:t>
      </w:r>
      <w:r w:rsidR="00F97F83">
        <w:rPr>
          <w:rFonts w:eastAsia="Arial" w:cs="Arial"/>
          <w:color w:val="000000" w:themeColor="text1"/>
        </w:rPr>
        <w:t>per full time equivalent employee.</w:t>
      </w:r>
      <w:r w:rsidR="5DD99F86" w:rsidRPr="114D10C4">
        <w:rPr>
          <w:rFonts w:eastAsia="Arial" w:cs="Arial"/>
          <w:color w:val="000000" w:themeColor="text1"/>
        </w:rPr>
        <w:t xml:space="preserve">  </w:t>
      </w:r>
    </w:p>
    <w:p w14:paraId="7BC73C4E" w14:textId="0D366333" w:rsidR="5DD99F86" w:rsidRDefault="5DD99F86" w:rsidP="114D10C4">
      <w:r w:rsidRPr="114D10C4">
        <w:rPr>
          <w:rFonts w:eastAsia="Arial" w:cs="Arial"/>
          <w:color w:val="000000" w:themeColor="text1"/>
        </w:rPr>
        <w:t xml:space="preserve">The top reasons for absence continue to be </w:t>
      </w:r>
      <w:r w:rsidR="00CE7EC5">
        <w:rPr>
          <w:rFonts w:eastAsia="Arial" w:cs="Arial"/>
          <w:color w:val="000000" w:themeColor="text1"/>
        </w:rPr>
        <w:t>m</w:t>
      </w:r>
      <w:r w:rsidRPr="114D10C4">
        <w:rPr>
          <w:rFonts w:eastAsia="Arial" w:cs="Arial"/>
          <w:color w:val="000000" w:themeColor="text1"/>
        </w:rPr>
        <w:t xml:space="preserve">ental and </w:t>
      </w:r>
      <w:r w:rsidR="00CE7EC5">
        <w:rPr>
          <w:rFonts w:eastAsia="Arial" w:cs="Arial"/>
          <w:color w:val="000000" w:themeColor="text1"/>
        </w:rPr>
        <w:t>b</w:t>
      </w:r>
      <w:r w:rsidRPr="114D10C4">
        <w:rPr>
          <w:rFonts w:eastAsia="Arial" w:cs="Arial"/>
          <w:color w:val="000000" w:themeColor="text1"/>
        </w:rPr>
        <w:t xml:space="preserve">ehavioural disorders which account for 33.6% of days lost, a reduction since the last quarter (36.4%). Although total days lost relating to </w:t>
      </w:r>
      <w:r w:rsidR="00636191">
        <w:rPr>
          <w:rFonts w:eastAsia="Arial" w:cs="Arial"/>
          <w:color w:val="000000" w:themeColor="text1"/>
        </w:rPr>
        <w:t>m</w:t>
      </w:r>
      <w:r w:rsidRPr="114D10C4">
        <w:rPr>
          <w:rFonts w:eastAsia="Arial" w:cs="Arial"/>
          <w:color w:val="000000" w:themeColor="text1"/>
        </w:rPr>
        <w:t xml:space="preserve">ental and </w:t>
      </w:r>
      <w:r w:rsidR="00636191">
        <w:rPr>
          <w:rFonts w:eastAsia="Arial" w:cs="Arial"/>
          <w:color w:val="000000" w:themeColor="text1"/>
        </w:rPr>
        <w:t>b</w:t>
      </w:r>
      <w:r w:rsidRPr="114D10C4">
        <w:rPr>
          <w:rFonts w:eastAsia="Arial" w:cs="Arial"/>
          <w:color w:val="000000" w:themeColor="text1"/>
        </w:rPr>
        <w:t>ehavioural disorders has reduced, the number of absences has increased suggesting that there have been more short</w:t>
      </w:r>
      <w:r w:rsidR="008A1A3E">
        <w:rPr>
          <w:rFonts w:eastAsia="Arial" w:cs="Arial"/>
          <w:color w:val="000000" w:themeColor="text1"/>
        </w:rPr>
        <w:t>-</w:t>
      </w:r>
      <w:r w:rsidRPr="114D10C4">
        <w:rPr>
          <w:rFonts w:eastAsia="Arial" w:cs="Arial"/>
          <w:color w:val="000000" w:themeColor="text1"/>
        </w:rPr>
        <w:t>term absences. Musculoskeletal related absences are second with 12.8%</w:t>
      </w:r>
      <w:r w:rsidR="00C3733A">
        <w:rPr>
          <w:rFonts w:eastAsia="Arial" w:cs="Arial"/>
          <w:color w:val="000000" w:themeColor="text1"/>
        </w:rPr>
        <w:t xml:space="preserve"> of days lost</w:t>
      </w:r>
      <w:r w:rsidRPr="114D10C4">
        <w:rPr>
          <w:rFonts w:eastAsia="Arial" w:cs="Arial"/>
          <w:color w:val="000000" w:themeColor="text1"/>
        </w:rPr>
        <w:t xml:space="preserve"> followed by Covid-19, accounting for 11.</w:t>
      </w:r>
      <w:r w:rsidR="007831B1">
        <w:rPr>
          <w:rFonts w:eastAsia="Arial" w:cs="Arial"/>
          <w:color w:val="000000" w:themeColor="text1"/>
        </w:rPr>
        <w:t>8</w:t>
      </w:r>
      <w:r w:rsidRPr="114D10C4">
        <w:rPr>
          <w:rFonts w:eastAsia="Arial" w:cs="Arial"/>
          <w:color w:val="000000" w:themeColor="text1"/>
        </w:rPr>
        <w:t>% of days lost which is an increase of 1.</w:t>
      </w:r>
      <w:r w:rsidR="007831B1">
        <w:rPr>
          <w:rFonts w:eastAsia="Arial" w:cs="Arial"/>
          <w:color w:val="000000" w:themeColor="text1"/>
        </w:rPr>
        <w:t>8</w:t>
      </w:r>
      <w:r w:rsidRPr="114D10C4">
        <w:rPr>
          <w:rFonts w:eastAsia="Arial" w:cs="Arial"/>
          <w:color w:val="000000" w:themeColor="text1"/>
        </w:rPr>
        <w:t xml:space="preserve">% from the last quarter. </w:t>
      </w:r>
    </w:p>
    <w:p w14:paraId="0D0C5DC5" w14:textId="581DFB1F" w:rsidR="0010773B" w:rsidRPr="005548BD" w:rsidRDefault="5DD99F86" w:rsidP="00567CD5">
      <w:r w:rsidRPr="114D10C4">
        <w:rPr>
          <w:rFonts w:eastAsia="Arial" w:cs="Arial"/>
          <w:color w:val="000000" w:themeColor="text1"/>
        </w:rPr>
        <w:t>The number of absence cases per month due to Covid-19 has increased by 87% from 418 in Q2 to 782 in Q3, albeit the number of days lost per absence</w:t>
      </w:r>
      <w:r w:rsidR="00FC493B">
        <w:rPr>
          <w:rFonts w:eastAsia="Arial" w:cs="Arial"/>
          <w:color w:val="000000" w:themeColor="text1"/>
        </w:rPr>
        <w:t xml:space="preserve"> due to Covid-19</w:t>
      </w:r>
      <w:r w:rsidRPr="114D10C4">
        <w:rPr>
          <w:rFonts w:eastAsia="Arial" w:cs="Arial"/>
          <w:color w:val="000000" w:themeColor="text1"/>
        </w:rPr>
        <w:t xml:space="preserve"> has declined to an average of 4.3 days lost from 6.3 days in Q2. </w:t>
      </w:r>
      <w:r w:rsidR="008F7C27">
        <w:rPr>
          <w:rFonts w:eastAsia="Arial" w:cs="Arial"/>
          <w:color w:val="000000" w:themeColor="text1"/>
        </w:rPr>
        <w:t>T</w:t>
      </w:r>
      <w:r w:rsidRPr="114D10C4">
        <w:rPr>
          <w:rFonts w:eastAsia="Arial" w:cs="Arial"/>
          <w:color w:val="000000" w:themeColor="text1"/>
        </w:rPr>
        <w:t xml:space="preserve">he number of Long-Covid absences </w:t>
      </w:r>
      <w:r w:rsidR="008F7C27">
        <w:rPr>
          <w:rFonts w:eastAsia="Arial" w:cs="Arial"/>
          <w:color w:val="000000" w:themeColor="text1"/>
        </w:rPr>
        <w:t xml:space="preserve">are being closely monitored </w:t>
      </w:r>
      <w:r w:rsidRPr="114D10C4">
        <w:rPr>
          <w:rFonts w:eastAsia="Arial" w:cs="Arial"/>
          <w:color w:val="000000" w:themeColor="text1"/>
        </w:rPr>
        <w:t>and</w:t>
      </w:r>
      <w:r w:rsidR="008F7C27">
        <w:rPr>
          <w:rFonts w:eastAsia="Arial" w:cs="Arial"/>
          <w:color w:val="000000" w:themeColor="text1"/>
        </w:rPr>
        <w:t xml:space="preserve"> </w:t>
      </w:r>
      <w:r w:rsidR="00A36E13">
        <w:rPr>
          <w:rFonts w:eastAsia="Arial" w:cs="Arial"/>
          <w:color w:val="000000" w:themeColor="text1"/>
        </w:rPr>
        <w:t xml:space="preserve">corporate HR </w:t>
      </w:r>
      <w:r w:rsidR="008F7C27">
        <w:rPr>
          <w:rFonts w:eastAsia="Arial" w:cs="Arial"/>
          <w:color w:val="000000" w:themeColor="text1"/>
        </w:rPr>
        <w:t>resources are being directed to</w:t>
      </w:r>
      <w:r w:rsidRPr="114D10C4">
        <w:rPr>
          <w:rFonts w:eastAsia="Arial" w:cs="Arial"/>
          <w:color w:val="000000" w:themeColor="text1"/>
        </w:rPr>
        <w:t xml:space="preserve"> provide support and guidance to services for these cases.</w:t>
      </w:r>
    </w:p>
    <w:p w14:paraId="502140AF" w14:textId="4E4AC52A" w:rsidR="004D035D" w:rsidRDefault="01CDAEB1" w:rsidP="00567CD5">
      <w:pPr>
        <w:rPr>
          <w:rFonts w:cs="Arial"/>
        </w:rPr>
      </w:pPr>
      <w:r w:rsidRPr="005548BD">
        <w:rPr>
          <w:b/>
          <w:bCs/>
        </w:rPr>
        <w:lastRenderedPageBreak/>
        <w:t>Revenue forecast outturn % variance to budget</w:t>
      </w:r>
      <w:r w:rsidR="00567CD5" w:rsidRPr="005548BD">
        <w:rPr>
          <w:b/>
          <w:bCs/>
        </w:rPr>
        <w:t>.</w:t>
      </w:r>
      <w:r w:rsidRPr="005548BD">
        <w:rPr>
          <w:b/>
          <w:bCs/>
          <w:color w:val="FF0000"/>
        </w:rPr>
        <w:t xml:space="preserve"> </w:t>
      </w:r>
      <w:r w:rsidR="005548BD">
        <w:rPr>
          <w:rFonts w:cs="Arial"/>
        </w:rPr>
        <w:t xml:space="preserve">The Q3 forecast is an underspend of £23.46m, which by way of context is 2.66% of the county council's net budget. The underspend is due to a combination of variances across services including underspends on </w:t>
      </w:r>
      <w:r w:rsidR="00386C96">
        <w:rPr>
          <w:rFonts w:cs="Arial"/>
        </w:rPr>
        <w:t>C</w:t>
      </w:r>
      <w:r w:rsidR="005548BD">
        <w:rPr>
          <w:rFonts w:cs="Arial"/>
        </w:rPr>
        <w:t xml:space="preserve">hildren's </w:t>
      </w:r>
      <w:r w:rsidR="00386C96">
        <w:rPr>
          <w:rFonts w:cs="Arial"/>
        </w:rPr>
        <w:t>S</w:t>
      </w:r>
      <w:r w:rsidR="005548BD">
        <w:rPr>
          <w:rFonts w:cs="Arial"/>
        </w:rPr>
        <w:t xml:space="preserve">ocial </w:t>
      </w:r>
      <w:r w:rsidR="00386C96">
        <w:rPr>
          <w:rFonts w:cs="Arial"/>
        </w:rPr>
        <w:t>C</w:t>
      </w:r>
      <w:r w:rsidR="005548BD">
        <w:rPr>
          <w:rFonts w:cs="Arial"/>
        </w:rPr>
        <w:t xml:space="preserve">are, increased income from Treasury Management function and an improved </w:t>
      </w:r>
      <w:r w:rsidR="00386C96">
        <w:rPr>
          <w:rFonts w:cs="Arial"/>
        </w:rPr>
        <w:t>A</w:t>
      </w:r>
      <w:r w:rsidR="005548BD">
        <w:rPr>
          <w:rFonts w:cs="Arial"/>
        </w:rPr>
        <w:t xml:space="preserve">dult </w:t>
      </w:r>
      <w:r w:rsidR="00386C96">
        <w:rPr>
          <w:rFonts w:cs="Arial"/>
        </w:rPr>
        <w:t>S</w:t>
      </w:r>
      <w:r w:rsidR="005548BD">
        <w:rPr>
          <w:rFonts w:cs="Arial"/>
        </w:rPr>
        <w:t xml:space="preserve">ocial </w:t>
      </w:r>
      <w:r w:rsidR="00386C96">
        <w:rPr>
          <w:rFonts w:cs="Arial"/>
        </w:rPr>
        <w:t>C</w:t>
      </w:r>
      <w:r w:rsidR="005548BD">
        <w:rPr>
          <w:rFonts w:cs="Arial"/>
        </w:rPr>
        <w:t xml:space="preserve">are position mainly due to additional government </w:t>
      </w:r>
      <w:r w:rsidR="00FC7102">
        <w:rPr>
          <w:rFonts w:cs="Arial"/>
        </w:rPr>
        <w:t>g</w:t>
      </w:r>
      <w:r w:rsidR="005548BD">
        <w:rPr>
          <w:rFonts w:cs="Arial"/>
        </w:rPr>
        <w:t>rants related to the pandemic. These underspends are being partly offset by overspends on Highways, Transport and Strategy and Performance</w:t>
      </w:r>
      <w:r w:rsidR="00DF43E8">
        <w:rPr>
          <w:rFonts w:cs="Arial"/>
        </w:rPr>
        <w:t xml:space="preserve">.  </w:t>
      </w:r>
      <w:r w:rsidR="005548BD">
        <w:rPr>
          <w:rFonts w:cs="Arial"/>
        </w:rPr>
        <w:t xml:space="preserve">This is the third forecast of the financial year. A number of assumptions are made based on expenditure and income to date and knowledge of future activity from Budget Holders. </w:t>
      </w:r>
      <w:r w:rsidR="003557AD">
        <w:rPr>
          <w:rFonts w:cs="Arial"/>
        </w:rPr>
        <w:t>T</w:t>
      </w:r>
      <w:r w:rsidR="005548BD">
        <w:rPr>
          <w:rFonts w:cs="Arial"/>
        </w:rPr>
        <w:t xml:space="preserve">he impact of the new strains of the pandemic </w:t>
      </w:r>
      <w:r w:rsidR="003557AD">
        <w:rPr>
          <w:rFonts w:cs="Arial"/>
        </w:rPr>
        <w:t xml:space="preserve">continue to be monitored closely </w:t>
      </w:r>
      <w:r w:rsidR="005548BD">
        <w:rPr>
          <w:rFonts w:cs="Arial"/>
        </w:rPr>
        <w:t>as restrictions are lifted, and demand returns to pre pandemic levels.</w:t>
      </w:r>
    </w:p>
    <w:p w14:paraId="07AB5D07" w14:textId="77777777" w:rsidR="00AB29C4" w:rsidRDefault="00AB29C4" w:rsidP="00567CD5">
      <w:pPr>
        <w:rPr>
          <w:rFonts w:eastAsiaTheme="minorHAnsi" w:cs="Arial"/>
          <w:color w:val="auto"/>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1329"/>
        <w:gridCol w:w="3838"/>
        <w:gridCol w:w="5810"/>
      </w:tblGrid>
      <w:tr w:rsidR="00AB29C4" w:rsidRPr="00A13FE9" w14:paraId="6CB818F0" w14:textId="77777777" w:rsidTr="002A061B">
        <w:trPr>
          <w:trHeight w:val="693"/>
        </w:trPr>
        <w:tc>
          <w:tcPr>
            <w:tcW w:w="3119" w:type="dxa"/>
            <w:tcBorders>
              <w:top w:val="single" w:sz="4" w:space="0" w:color="auto"/>
              <w:left w:val="single" w:sz="4" w:space="0" w:color="auto"/>
              <w:bottom w:val="single" w:sz="4" w:space="0" w:color="auto"/>
              <w:right w:val="single" w:sz="4" w:space="0" w:color="auto"/>
            </w:tcBorders>
          </w:tcPr>
          <w:p w14:paraId="0442A3C6" w14:textId="77777777" w:rsidR="00AB29C4" w:rsidRPr="00A13FE9" w:rsidRDefault="00AB29C4" w:rsidP="00B22AB4">
            <w:pPr>
              <w:pStyle w:val="NoSpacing"/>
              <w:rPr>
                <w:rFonts w:ascii="Arial" w:hAnsi="Arial" w:cs="Arial"/>
                <w:b/>
              </w:rPr>
            </w:pPr>
            <w:r w:rsidRPr="00A13FE9">
              <w:rPr>
                <w:rFonts w:ascii="Arial" w:hAnsi="Arial" w:cs="Arial"/>
                <w:b/>
              </w:rPr>
              <w:t>Performance Indicator</w:t>
            </w:r>
          </w:p>
        </w:tc>
        <w:tc>
          <w:tcPr>
            <w:tcW w:w="986" w:type="dxa"/>
            <w:tcBorders>
              <w:top w:val="single" w:sz="4" w:space="0" w:color="auto"/>
              <w:left w:val="single" w:sz="4" w:space="0" w:color="auto"/>
              <w:bottom w:val="single" w:sz="4" w:space="0" w:color="auto"/>
              <w:right w:val="single" w:sz="4" w:space="0" w:color="auto"/>
            </w:tcBorders>
          </w:tcPr>
          <w:p w14:paraId="0B9183AD" w14:textId="77777777" w:rsidR="00AB29C4" w:rsidRPr="00A13FE9" w:rsidRDefault="00AB29C4" w:rsidP="00B22AB4">
            <w:pPr>
              <w:pStyle w:val="NoSpacing"/>
              <w:rPr>
                <w:rFonts w:ascii="Arial" w:hAnsi="Arial" w:cs="Arial"/>
                <w:b/>
              </w:rPr>
            </w:pPr>
            <w:r w:rsidRPr="00A13FE9">
              <w:rPr>
                <w:rFonts w:ascii="Arial" w:hAnsi="Arial" w:cs="Arial"/>
                <w:b/>
              </w:rPr>
              <w:t>Frequency</w:t>
            </w:r>
          </w:p>
        </w:tc>
        <w:tc>
          <w:tcPr>
            <w:tcW w:w="3941" w:type="dxa"/>
            <w:tcBorders>
              <w:top w:val="single" w:sz="4" w:space="0" w:color="auto"/>
              <w:left w:val="single" w:sz="4" w:space="0" w:color="auto"/>
              <w:bottom w:val="single" w:sz="4" w:space="0" w:color="auto"/>
              <w:right w:val="single" w:sz="4" w:space="0" w:color="auto"/>
            </w:tcBorders>
          </w:tcPr>
          <w:p w14:paraId="687545C8" w14:textId="77777777" w:rsidR="00AB29C4" w:rsidRPr="00A13FE9" w:rsidRDefault="00AB29C4" w:rsidP="00B22AB4">
            <w:pPr>
              <w:pStyle w:val="NoSpacing"/>
              <w:rPr>
                <w:rFonts w:ascii="Arial" w:hAnsi="Arial" w:cs="Arial"/>
                <w:b/>
              </w:rPr>
            </w:pPr>
            <w:r w:rsidRPr="00A13FE9">
              <w:rPr>
                <w:rFonts w:ascii="Arial" w:hAnsi="Arial" w:cs="Arial"/>
                <w:b/>
              </w:rPr>
              <w:t xml:space="preserve">Directorate </w:t>
            </w:r>
          </w:p>
        </w:tc>
        <w:tc>
          <w:tcPr>
            <w:tcW w:w="5988" w:type="dxa"/>
            <w:tcBorders>
              <w:top w:val="single" w:sz="4" w:space="0" w:color="auto"/>
              <w:left w:val="single" w:sz="4" w:space="0" w:color="auto"/>
              <w:bottom w:val="single" w:sz="4" w:space="0" w:color="auto"/>
              <w:right w:val="single" w:sz="4" w:space="0" w:color="auto"/>
            </w:tcBorders>
          </w:tcPr>
          <w:p w14:paraId="760303DC" w14:textId="77777777" w:rsidR="00AB29C4" w:rsidRPr="00A13FE9" w:rsidRDefault="00AB29C4" w:rsidP="00B22AB4">
            <w:pPr>
              <w:pStyle w:val="NoSpacing"/>
              <w:spacing w:line="252" w:lineRule="auto"/>
              <w:rPr>
                <w:rFonts w:ascii="Arial" w:eastAsiaTheme="minorHAnsi" w:hAnsi="Arial" w:cs="Arial"/>
                <w:b/>
                <w:bCs/>
              </w:rPr>
            </w:pPr>
            <w:r w:rsidRPr="00A13FE9">
              <w:rPr>
                <w:rFonts w:ascii="Arial" w:hAnsi="Arial" w:cs="Arial"/>
                <w:b/>
                <w:bCs/>
              </w:rPr>
              <w:t>Current Performance</w:t>
            </w:r>
          </w:p>
        </w:tc>
      </w:tr>
      <w:tr w:rsidR="00AB29C4" w:rsidRPr="00A13FE9" w14:paraId="21C8FB14" w14:textId="77777777" w:rsidTr="002A061B">
        <w:trPr>
          <w:trHeight w:val="761"/>
        </w:trPr>
        <w:tc>
          <w:tcPr>
            <w:tcW w:w="3119" w:type="dxa"/>
            <w:tcBorders>
              <w:top w:val="single" w:sz="4" w:space="0" w:color="auto"/>
              <w:left w:val="single" w:sz="4" w:space="0" w:color="auto"/>
              <w:bottom w:val="single" w:sz="4" w:space="0" w:color="auto"/>
              <w:right w:val="single" w:sz="4" w:space="0" w:color="auto"/>
            </w:tcBorders>
          </w:tcPr>
          <w:p w14:paraId="6DA19F81" w14:textId="56B500D7" w:rsidR="00AB29C4" w:rsidRPr="002E5B51" w:rsidRDefault="00AB29C4" w:rsidP="00B22AB4">
            <w:pPr>
              <w:pStyle w:val="NoSpacing"/>
              <w:rPr>
                <w:rFonts w:ascii="Arial" w:eastAsia="Arial" w:hAnsi="Arial" w:cs="Arial"/>
                <w:color w:val="000000" w:themeColor="text1"/>
              </w:rPr>
            </w:pPr>
            <w:r w:rsidRPr="002E5B51">
              <w:rPr>
                <w:rFonts w:ascii="Arial" w:eastAsia="Arial" w:hAnsi="Arial" w:cs="Arial"/>
                <w:color w:val="000000" w:themeColor="text1"/>
              </w:rPr>
              <w:t xml:space="preserve">Progress on </w:t>
            </w:r>
            <w:r w:rsidRPr="00A50285">
              <w:rPr>
                <w:rFonts w:ascii="Arial" w:eastAsia="Arial" w:hAnsi="Arial" w:cs="Arial"/>
                <w:color w:val="000000" w:themeColor="text1"/>
              </w:rPr>
              <w:t xml:space="preserve">organisational </w:t>
            </w:r>
            <w:r w:rsidRPr="002E5B51">
              <w:rPr>
                <w:rFonts w:ascii="Arial" w:eastAsia="Arial" w:hAnsi="Arial" w:cs="Arial"/>
                <w:color w:val="000000" w:themeColor="text1"/>
              </w:rPr>
              <w:t xml:space="preserve">development </w:t>
            </w:r>
            <w:r w:rsidR="002E0291">
              <w:rPr>
                <w:rFonts w:ascii="Arial" w:eastAsia="Arial" w:hAnsi="Arial" w:cs="Arial"/>
                <w:color w:val="000000" w:themeColor="text1"/>
              </w:rPr>
              <w:t xml:space="preserve">(aka </w:t>
            </w:r>
            <w:r w:rsidR="006B6F82">
              <w:rPr>
                <w:rFonts w:ascii="Arial" w:eastAsia="Arial" w:hAnsi="Arial" w:cs="Arial"/>
                <w:color w:val="000000" w:themeColor="text1"/>
              </w:rPr>
              <w:t>'</w:t>
            </w:r>
            <w:r w:rsidR="002E0291">
              <w:rPr>
                <w:rFonts w:ascii="Arial" w:eastAsia="Arial" w:hAnsi="Arial" w:cs="Arial"/>
                <w:color w:val="000000" w:themeColor="text1"/>
              </w:rPr>
              <w:t>Improvement Journey</w:t>
            </w:r>
            <w:r w:rsidR="006B6F82">
              <w:rPr>
                <w:rFonts w:ascii="Arial" w:eastAsia="Arial" w:hAnsi="Arial" w:cs="Arial"/>
                <w:color w:val="000000" w:themeColor="text1"/>
              </w:rPr>
              <w:t>'</w:t>
            </w:r>
            <w:r w:rsidR="002E0291">
              <w:rPr>
                <w:rFonts w:ascii="Arial" w:eastAsia="Arial" w:hAnsi="Arial" w:cs="Arial"/>
                <w:color w:val="000000" w:themeColor="text1"/>
              </w:rPr>
              <w:t>)</w:t>
            </w:r>
          </w:p>
        </w:tc>
        <w:tc>
          <w:tcPr>
            <w:tcW w:w="986" w:type="dxa"/>
            <w:tcBorders>
              <w:top w:val="single" w:sz="4" w:space="0" w:color="auto"/>
              <w:left w:val="single" w:sz="4" w:space="0" w:color="auto"/>
              <w:bottom w:val="single" w:sz="4" w:space="0" w:color="auto"/>
              <w:right w:val="single" w:sz="4" w:space="0" w:color="auto"/>
            </w:tcBorders>
          </w:tcPr>
          <w:p w14:paraId="6C70FC7D" w14:textId="77777777" w:rsidR="00AB29C4" w:rsidRPr="002E5B51" w:rsidRDefault="00AB29C4" w:rsidP="00B22AB4">
            <w:pPr>
              <w:pStyle w:val="NoSpacing"/>
              <w:rPr>
                <w:rFonts w:ascii="Arial" w:hAnsi="Arial" w:cs="Arial"/>
              </w:rPr>
            </w:pPr>
            <w:r w:rsidRPr="002E5B51">
              <w:rPr>
                <w:rFonts w:ascii="Arial" w:hAnsi="Arial" w:cs="Arial"/>
              </w:rPr>
              <w:t>Annual</w:t>
            </w:r>
          </w:p>
        </w:tc>
        <w:tc>
          <w:tcPr>
            <w:tcW w:w="3941" w:type="dxa"/>
            <w:tcBorders>
              <w:top w:val="single" w:sz="4" w:space="0" w:color="auto"/>
              <w:left w:val="single" w:sz="4" w:space="0" w:color="auto"/>
              <w:bottom w:val="single" w:sz="4" w:space="0" w:color="auto"/>
              <w:right w:val="single" w:sz="4" w:space="0" w:color="auto"/>
            </w:tcBorders>
          </w:tcPr>
          <w:p w14:paraId="45934584" w14:textId="77777777" w:rsidR="00AB29C4" w:rsidRPr="002E5B51" w:rsidRDefault="00AB29C4" w:rsidP="00B22AB4">
            <w:pPr>
              <w:pStyle w:val="NoSpacing"/>
              <w:rPr>
                <w:rFonts w:ascii="Arial" w:eastAsia="Arial" w:hAnsi="Arial" w:cs="Arial"/>
                <w:color w:val="000000" w:themeColor="text1"/>
              </w:rPr>
            </w:pPr>
            <w:r w:rsidRPr="002E5B51">
              <w:rPr>
                <w:rFonts w:ascii="Arial" w:eastAsia="Arial" w:hAnsi="Arial" w:cs="Arial"/>
                <w:color w:val="000000" w:themeColor="text1"/>
              </w:rPr>
              <w:t>Chief Executive and Director of Resources</w:t>
            </w:r>
          </w:p>
        </w:tc>
        <w:tc>
          <w:tcPr>
            <w:tcW w:w="5988" w:type="dxa"/>
            <w:tcBorders>
              <w:top w:val="single" w:sz="4" w:space="0" w:color="auto"/>
              <w:left w:val="single" w:sz="4" w:space="0" w:color="auto"/>
              <w:bottom w:val="single" w:sz="4" w:space="0" w:color="auto"/>
              <w:right w:val="single" w:sz="4" w:space="0" w:color="auto"/>
            </w:tcBorders>
          </w:tcPr>
          <w:p w14:paraId="3DDEA767" w14:textId="77777777" w:rsidR="00AB29C4" w:rsidRPr="002E5B51" w:rsidRDefault="00AB29C4" w:rsidP="00B22AB4">
            <w:pPr>
              <w:pStyle w:val="NoSpacing"/>
              <w:rPr>
                <w:rFonts w:ascii="Arial" w:hAnsi="Arial" w:cs="Arial"/>
              </w:rPr>
            </w:pPr>
            <w:r w:rsidRPr="002E5B51">
              <w:rPr>
                <w:rFonts w:ascii="Arial" w:hAnsi="Arial" w:cs="Arial"/>
              </w:rPr>
              <w:t>Annual Report – schedule to be confirmed</w:t>
            </w:r>
          </w:p>
        </w:tc>
      </w:tr>
      <w:tr w:rsidR="00AB29C4" w:rsidRPr="00A13FE9" w14:paraId="3AFF3677" w14:textId="77777777" w:rsidTr="002A061B">
        <w:trPr>
          <w:trHeight w:val="507"/>
        </w:trPr>
        <w:tc>
          <w:tcPr>
            <w:tcW w:w="3119" w:type="dxa"/>
            <w:tcBorders>
              <w:top w:val="single" w:sz="4" w:space="0" w:color="auto"/>
              <w:left w:val="single" w:sz="4" w:space="0" w:color="auto"/>
              <w:bottom w:val="single" w:sz="4" w:space="0" w:color="auto"/>
              <w:right w:val="single" w:sz="4" w:space="0" w:color="auto"/>
            </w:tcBorders>
          </w:tcPr>
          <w:p w14:paraId="3654EDE1" w14:textId="77777777" w:rsidR="00AB29C4" w:rsidRPr="002E5B51" w:rsidRDefault="00AB29C4" w:rsidP="00B22AB4">
            <w:pPr>
              <w:pStyle w:val="NoSpacing"/>
              <w:rPr>
                <w:rFonts w:ascii="Arial" w:eastAsia="Arial" w:hAnsi="Arial" w:cs="Arial"/>
                <w:color w:val="000000" w:themeColor="text1"/>
              </w:rPr>
            </w:pPr>
            <w:r w:rsidRPr="002E5B51">
              <w:rPr>
                <w:rFonts w:ascii="Arial" w:hAnsi="Arial" w:cs="Arial"/>
              </w:rPr>
              <w:t>Implementing the digital strategy</w:t>
            </w:r>
          </w:p>
        </w:tc>
        <w:tc>
          <w:tcPr>
            <w:tcW w:w="986" w:type="dxa"/>
            <w:tcBorders>
              <w:top w:val="single" w:sz="4" w:space="0" w:color="auto"/>
              <w:left w:val="single" w:sz="4" w:space="0" w:color="auto"/>
              <w:bottom w:val="single" w:sz="4" w:space="0" w:color="auto"/>
              <w:right w:val="single" w:sz="4" w:space="0" w:color="auto"/>
            </w:tcBorders>
          </w:tcPr>
          <w:p w14:paraId="7336B2BE" w14:textId="77777777" w:rsidR="00AB29C4" w:rsidRPr="002E5B51" w:rsidRDefault="00AB29C4" w:rsidP="00B22AB4">
            <w:pPr>
              <w:pStyle w:val="NoSpacing"/>
              <w:rPr>
                <w:rFonts w:ascii="Arial" w:hAnsi="Arial" w:cs="Arial"/>
              </w:rPr>
            </w:pPr>
            <w:r w:rsidRPr="002E5B51">
              <w:rPr>
                <w:rFonts w:ascii="Arial" w:hAnsi="Arial" w:cs="Arial"/>
              </w:rPr>
              <w:t>Annual</w:t>
            </w:r>
          </w:p>
        </w:tc>
        <w:tc>
          <w:tcPr>
            <w:tcW w:w="3941" w:type="dxa"/>
            <w:tcBorders>
              <w:top w:val="single" w:sz="4" w:space="0" w:color="auto"/>
              <w:left w:val="single" w:sz="4" w:space="0" w:color="auto"/>
              <w:bottom w:val="single" w:sz="4" w:space="0" w:color="auto"/>
              <w:right w:val="single" w:sz="4" w:space="0" w:color="auto"/>
            </w:tcBorders>
          </w:tcPr>
          <w:p w14:paraId="14741358" w14:textId="77777777" w:rsidR="00AB29C4" w:rsidRPr="002E5B51" w:rsidRDefault="00AB29C4" w:rsidP="00B22AB4">
            <w:pPr>
              <w:pStyle w:val="NoSpacing"/>
              <w:rPr>
                <w:rFonts w:ascii="Arial" w:eastAsia="Arial" w:hAnsi="Arial" w:cs="Arial"/>
                <w:color w:val="000000" w:themeColor="text1"/>
              </w:rPr>
            </w:pPr>
            <w:r w:rsidRPr="002E5B51">
              <w:rPr>
                <w:rFonts w:ascii="Arial" w:eastAsia="Arial" w:hAnsi="Arial" w:cs="Arial"/>
                <w:color w:val="000000" w:themeColor="text1"/>
              </w:rPr>
              <w:t>Chief Executive and Director of Resources</w:t>
            </w:r>
          </w:p>
        </w:tc>
        <w:tc>
          <w:tcPr>
            <w:tcW w:w="5988" w:type="dxa"/>
            <w:tcBorders>
              <w:top w:val="single" w:sz="4" w:space="0" w:color="auto"/>
              <w:left w:val="single" w:sz="4" w:space="0" w:color="auto"/>
              <w:bottom w:val="single" w:sz="4" w:space="0" w:color="auto"/>
              <w:right w:val="single" w:sz="4" w:space="0" w:color="auto"/>
            </w:tcBorders>
          </w:tcPr>
          <w:p w14:paraId="4416D53C" w14:textId="77777777" w:rsidR="00AB29C4" w:rsidRPr="002E5B51" w:rsidRDefault="00AB29C4" w:rsidP="00B22AB4">
            <w:pPr>
              <w:pStyle w:val="NoSpacing"/>
              <w:rPr>
                <w:rFonts w:ascii="Arial" w:hAnsi="Arial" w:cs="Arial"/>
              </w:rPr>
            </w:pPr>
            <w:r w:rsidRPr="002E5B51">
              <w:rPr>
                <w:rFonts w:ascii="Arial" w:hAnsi="Arial" w:cs="Arial"/>
              </w:rPr>
              <w:t>Report presented to 20/04/21 CCPI meeting.</w:t>
            </w:r>
          </w:p>
        </w:tc>
      </w:tr>
    </w:tbl>
    <w:p w14:paraId="08E40357" w14:textId="77777777" w:rsidR="000262AD" w:rsidRPr="000262AD" w:rsidRDefault="000262AD" w:rsidP="00567CD5">
      <w:pPr>
        <w:rPr>
          <w:rFonts w:eastAsiaTheme="minorHAnsi" w:cs="Arial"/>
          <w:color w:val="auto"/>
          <w:sz w:val="22"/>
          <w:szCs w:val="22"/>
        </w:rPr>
      </w:pPr>
    </w:p>
    <w:p w14:paraId="0C0190EE" w14:textId="7AC5C79D" w:rsidR="00794DD3" w:rsidRPr="000262AD" w:rsidRDefault="001B1936" w:rsidP="00A64FFE">
      <w:pPr>
        <w:pStyle w:val="Style1"/>
        <w:rPr>
          <w:b w:val="0"/>
          <w:bCs w:val="0"/>
        </w:rPr>
      </w:pPr>
      <w:r w:rsidRPr="000262AD">
        <w:t>Additional service developments</w:t>
      </w:r>
      <w:r w:rsidRPr="000262AD">
        <w:rPr>
          <w:b w:val="0"/>
          <w:bCs w:val="0"/>
        </w:rPr>
        <w:t xml:space="preserve">. </w:t>
      </w:r>
      <w:r w:rsidR="00654F8B" w:rsidRPr="000262AD">
        <w:rPr>
          <w:b w:val="0"/>
          <w:bCs w:val="0"/>
        </w:rPr>
        <w:t xml:space="preserve">In addition to the above established key performance indicators many other service developments, projects and achievements are ongoing </w:t>
      </w:r>
      <w:r w:rsidR="009E5921" w:rsidRPr="000262AD">
        <w:rPr>
          <w:b w:val="0"/>
          <w:bCs w:val="0"/>
        </w:rPr>
        <w:t>which support</w:t>
      </w:r>
      <w:r w:rsidR="00654F8B" w:rsidRPr="000262AD">
        <w:rPr>
          <w:b w:val="0"/>
          <w:bCs w:val="0"/>
        </w:rPr>
        <w:t xml:space="preserve"> the Delivering Better Services corporate priority.  Performance metrics are being developed for these areas, along with associated targets where appropriate</w:t>
      </w:r>
      <w:r w:rsidR="0004094C" w:rsidRPr="000262AD">
        <w:rPr>
          <w:b w:val="0"/>
          <w:bCs w:val="0"/>
        </w:rPr>
        <w:t>,</w:t>
      </w:r>
      <w:r w:rsidR="00654F8B" w:rsidRPr="000262AD">
        <w:rPr>
          <w:b w:val="0"/>
          <w:bCs w:val="0"/>
        </w:rPr>
        <w:t xml:space="preserve"> for inclusion in future reports.</w:t>
      </w:r>
    </w:p>
    <w:p w14:paraId="1D59EBD0" w14:textId="2F818EBD" w:rsidR="00654F8B" w:rsidRPr="000262AD" w:rsidRDefault="00654F8B" w:rsidP="4E6013FB">
      <w:pPr>
        <w:rPr>
          <w:color w:val="000000" w:themeColor="text1"/>
        </w:rPr>
      </w:pPr>
      <w:r w:rsidRPr="000262AD">
        <w:rPr>
          <w:color w:val="000000" w:themeColor="text1"/>
        </w:rPr>
        <w:t xml:space="preserve">These </w:t>
      </w:r>
      <w:r w:rsidR="006906D5" w:rsidRPr="000262AD">
        <w:rPr>
          <w:color w:val="000000" w:themeColor="text1"/>
        </w:rPr>
        <w:t xml:space="preserve">service </w:t>
      </w:r>
      <w:r w:rsidRPr="000262AD">
        <w:rPr>
          <w:color w:val="000000" w:themeColor="text1"/>
        </w:rPr>
        <w:t>development areas include:</w:t>
      </w:r>
    </w:p>
    <w:p w14:paraId="3453E4DE" w14:textId="7DE4BE2D" w:rsidR="00B242CD" w:rsidRDefault="00B242CD" w:rsidP="00B242CD">
      <w:pPr>
        <w:pStyle w:val="ListParagraph"/>
        <w:numPr>
          <w:ilvl w:val="0"/>
          <w:numId w:val="16"/>
        </w:numPr>
        <w:autoSpaceDE/>
        <w:autoSpaceDN/>
        <w:adjustRightInd/>
        <w:spacing w:after="0"/>
        <w:contextualSpacing w:val="0"/>
        <w:jc w:val="left"/>
        <w:rPr>
          <w:rFonts w:eastAsia="Times New Roman" w:cs="Arial"/>
          <w:sz w:val="22"/>
          <w:szCs w:val="22"/>
        </w:rPr>
      </w:pPr>
      <w:r>
        <w:rPr>
          <w:rFonts w:eastAsia="Times New Roman" w:cs="Arial"/>
        </w:rPr>
        <w:t xml:space="preserve">Strategic Improvement Board re-established to provide leadership, visibility and co-ordination of </w:t>
      </w:r>
      <w:r w:rsidR="001A519D">
        <w:rPr>
          <w:rFonts w:eastAsia="Times New Roman" w:cs="Arial"/>
        </w:rPr>
        <w:t xml:space="preserve">the </w:t>
      </w:r>
      <w:r>
        <w:rPr>
          <w:rFonts w:eastAsia="Times New Roman" w:cs="Arial"/>
        </w:rPr>
        <w:t>Improvement Journey at Corporate Management Team level</w:t>
      </w:r>
      <w:r w:rsidR="008F18D4">
        <w:rPr>
          <w:rFonts w:eastAsia="Times New Roman" w:cs="Arial"/>
        </w:rPr>
        <w:t>.</w:t>
      </w:r>
    </w:p>
    <w:p w14:paraId="117FE321" w14:textId="705EBF7B" w:rsidR="00B242CD" w:rsidRDefault="002E0291"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A programme of work is</w:t>
      </w:r>
      <w:r w:rsidR="00B242CD">
        <w:rPr>
          <w:rFonts w:eastAsia="Times New Roman" w:cs="Arial"/>
        </w:rPr>
        <w:t xml:space="preserve"> underway to develop and deliver improvement options related to </w:t>
      </w:r>
      <w:r w:rsidR="006B6F82">
        <w:rPr>
          <w:rFonts w:eastAsia="Times New Roman" w:cs="Arial"/>
        </w:rPr>
        <w:t>s</w:t>
      </w:r>
      <w:r w:rsidR="00B242CD">
        <w:rPr>
          <w:rFonts w:eastAsia="Times New Roman" w:cs="Arial"/>
        </w:rPr>
        <w:t xml:space="preserve">trategy </w:t>
      </w:r>
      <w:r w:rsidR="00DC7E2B">
        <w:rPr>
          <w:rFonts w:eastAsia="Times New Roman" w:cs="Arial"/>
        </w:rPr>
        <w:t>and</w:t>
      </w:r>
      <w:r w:rsidR="00B242CD">
        <w:rPr>
          <w:rFonts w:eastAsia="Times New Roman" w:cs="Arial"/>
        </w:rPr>
        <w:t xml:space="preserve"> </w:t>
      </w:r>
      <w:r w:rsidR="006B6F82">
        <w:rPr>
          <w:rFonts w:eastAsia="Times New Roman" w:cs="Arial"/>
        </w:rPr>
        <w:t>p</w:t>
      </w:r>
      <w:r w:rsidR="00B242CD">
        <w:rPr>
          <w:rFonts w:eastAsia="Times New Roman" w:cs="Arial"/>
        </w:rPr>
        <w:t xml:space="preserve">olicy identified from </w:t>
      </w:r>
      <w:r w:rsidR="00595DA9">
        <w:rPr>
          <w:rFonts w:eastAsia="Times New Roman" w:cs="Arial"/>
        </w:rPr>
        <w:t>the '</w:t>
      </w:r>
      <w:r w:rsidR="00B242CD">
        <w:rPr>
          <w:rFonts w:eastAsia="Times New Roman" w:cs="Arial"/>
        </w:rPr>
        <w:t>Concept and Shape</w:t>
      </w:r>
      <w:r w:rsidR="00595DA9">
        <w:rPr>
          <w:rFonts w:eastAsia="Times New Roman" w:cs="Arial"/>
        </w:rPr>
        <w:t>'</w:t>
      </w:r>
      <w:r w:rsidR="00B242CD">
        <w:rPr>
          <w:rFonts w:eastAsia="Times New Roman" w:cs="Arial"/>
        </w:rPr>
        <w:t xml:space="preserve"> work</w:t>
      </w:r>
      <w:r w:rsidR="008F18D4">
        <w:rPr>
          <w:rFonts w:eastAsia="Times New Roman" w:cs="Arial"/>
        </w:rPr>
        <w:t>.</w:t>
      </w:r>
      <w:r w:rsidR="00B242CD">
        <w:rPr>
          <w:rFonts w:eastAsia="Times New Roman" w:cs="Arial"/>
        </w:rPr>
        <w:t xml:space="preserve">  </w:t>
      </w:r>
    </w:p>
    <w:p w14:paraId="72393197" w14:textId="0801F191" w:rsidR="00B242CD" w:rsidRDefault="00595DA9"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 xml:space="preserve">A programme of work is </w:t>
      </w:r>
      <w:r w:rsidR="00B242CD">
        <w:rPr>
          <w:rFonts w:eastAsia="Times New Roman" w:cs="Arial"/>
        </w:rPr>
        <w:t xml:space="preserve">underway to develop </w:t>
      </w:r>
      <w:r w:rsidR="00DC7E2B">
        <w:rPr>
          <w:rFonts w:eastAsia="Times New Roman" w:cs="Arial"/>
        </w:rPr>
        <w:t>and</w:t>
      </w:r>
      <w:r w:rsidR="00B242CD">
        <w:rPr>
          <w:rFonts w:eastAsia="Times New Roman" w:cs="Arial"/>
        </w:rPr>
        <w:t xml:space="preserve"> deliver improvements to the corporate programme management office</w:t>
      </w:r>
      <w:r w:rsidR="00DC7E2B">
        <w:rPr>
          <w:rFonts w:eastAsia="Times New Roman" w:cs="Arial"/>
        </w:rPr>
        <w:t>,</w:t>
      </w:r>
      <w:r w:rsidR="00B242CD">
        <w:rPr>
          <w:rFonts w:eastAsia="Times New Roman" w:cs="Arial"/>
        </w:rPr>
        <w:t xml:space="preserve"> including </w:t>
      </w:r>
      <w:r>
        <w:rPr>
          <w:rFonts w:eastAsia="Times New Roman" w:cs="Arial"/>
        </w:rPr>
        <w:t xml:space="preserve">the </w:t>
      </w:r>
      <w:r w:rsidR="00B242CD">
        <w:rPr>
          <w:rFonts w:eastAsia="Times New Roman" w:cs="Arial"/>
        </w:rPr>
        <w:t>creation of L</w:t>
      </w:r>
      <w:r>
        <w:rPr>
          <w:rFonts w:eastAsia="Times New Roman" w:cs="Arial"/>
        </w:rPr>
        <w:t xml:space="preserve">ancashire </w:t>
      </w:r>
      <w:r w:rsidR="00B242CD">
        <w:rPr>
          <w:rFonts w:eastAsia="Times New Roman" w:cs="Arial"/>
        </w:rPr>
        <w:t>C</w:t>
      </w:r>
      <w:r>
        <w:rPr>
          <w:rFonts w:eastAsia="Times New Roman" w:cs="Arial"/>
        </w:rPr>
        <w:t xml:space="preserve">ounty </w:t>
      </w:r>
      <w:r w:rsidR="00B242CD">
        <w:rPr>
          <w:rFonts w:eastAsia="Times New Roman" w:cs="Arial"/>
        </w:rPr>
        <w:t>C</w:t>
      </w:r>
      <w:r>
        <w:rPr>
          <w:rFonts w:eastAsia="Times New Roman" w:cs="Arial"/>
        </w:rPr>
        <w:t>ouncil</w:t>
      </w:r>
      <w:r w:rsidR="00B242CD">
        <w:rPr>
          <w:rFonts w:eastAsia="Times New Roman" w:cs="Arial"/>
        </w:rPr>
        <w:t xml:space="preserve">'s Strategic Change Delivery Plan (SCDP), implementation of the change front door mechanism </w:t>
      </w:r>
      <w:r w:rsidR="005404CA">
        <w:rPr>
          <w:rFonts w:eastAsia="Times New Roman" w:cs="Arial"/>
        </w:rPr>
        <w:t xml:space="preserve">and </w:t>
      </w:r>
      <w:r w:rsidR="00B242CD">
        <w:rPr>
          <w:rFonts w:eastAsia="Times New Roman" w:cs="Arial"/>
        </w:rPr>
        <w:t xml:space="preserve">Cora system to support improved reporting. </w:t>
      </w:r>
    </w:p>
    <w:p w14:paraId="17306E6F" w14:textId="086A4827" w:rsidR="00B242CD" w:rsidRDefault="00B242CD"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Phase 1 of H</w:t>
      </w:r>
      <w:r w:rsidR="005404CA">
        <w:rPr>
          <w:rFonts w:eastAsia="Times New Roman" w:cs="Arial"/>
        </w:rPr>
        <w:t xml:space="preserve">uman </w:t>
      </w:r>
      <w:r>
        <w:rPr>
          <w:rFonts w:eastAsia="Times New Roman" w:cs="Arial"/>
        </w:rPr>
        <w:t>R</w:t>
      </w:r>
      <w:r w:rsidR="005404CA">
        <w:rPr>
          <w:rFonts w:eastAsia="Times New Roman" w:cs="Arial"/>
        </w:rPr>
        <w:t>esources and</w:t>
      </w:r>
      <w:r>
        <w:rPr>
          <w:rFonts w:eastAsia="Times New Roman" w:cs="Arial"/>
        </w:rPr>
        <w:t xml:space="preserve"> Skills, Learning and Development service review </w:t>
      </w:r>
      <w:r w:rsidR="005404CA">
        <w:rPr>
          <w:rFonts w:eastAsia="Times New Roman" w:cs="Arial"/>
        </w:rPr>
        <w:t xml:space="preserve">has been </w:t>
      </w:r>
      <w:r>
        <w:rPr>
          <w:rFonts w:eastAsia="Times New Roman" w:cs="Arial"/>
        </w:rPr>
        <w:t>completed; phase 2</w:t>
      </w:r>
      <w:r w:rsidR="005404CA">
        <w:rPr>
          <w:rFonts w:eastAsia="Times New Roman" w:cs="Arial"/>
        </w:rPr>
        <w:t xml:space="preserve"> is</w:t>
      </w:r>
      <w:r>
        <w:rPr>
          <w:rFonts w:eastAsia="Times New Roman" w:cs="Arial"/>
        </w:rPr>
        <w:t xml:space="preserve"> commencing </w:t>
      </w:r>
      <w:r w:rsidR="005404CA">
        <w:rPr>
          <w:rFonts w:eastAsia="Times New Roman" w:cs="Arial"/>
        </w:rPr>
        <w:t xml:space="preserve">in </w:t>
      </w:r>
      <w:r>
        <w:rPr>
          <w:rFonts w:eastAsia="Times New Roman" w:cs="Arial"/>
        </w:rPr>
        <w:t>March 22</w:t>
      </w:r>
      <w:r w:rsidR="008F18D4">
        <w:rPr>
          <w:rFonts w:eastAsia="Times New Roman" w:cs="Arial"/>
        </w:rPr>
        <w:t xml:space="preserve"> </w:t>
      </w:r>
      <w:r>
        <w:rPr>
          <w:rFonts w:eastAsia="Times New Roman" w:cs="Arial"/>
        </w:rPr>
        <w:t xml:space="preserve">to agree the functional design </w:t>
      </w:r>
      <w:r w:rsidR="008F18D4">
        <w:rPr>
          <w:rFonts w:eastAsia="Times New Roman" w:cs="Arial"/>
        </w:rPr>
        <w:t xml:space="preserve">and </w:t>
      </w:r>
      <w:r>
        <w:rPr>
          <w:rFonts w:eastAsia="Times New Roman" w:cs="Arial"/>
        </w:rPr>
        <w:t>operating model and a plan for implementation</w:t>
      </w:r>
      <w:r w:rsidR="008F18D4">
        <w:rPr>
          <w:rFonts w:eastAsia="Times New Roman" w:cs="Arial"/>
        </w:rPr>
        <w:t>.</w:t>
      </w:r>
    </w:p>
    <w:p w14:paraId="3809667A" w14:textId="78F0CD37" w:rsidR="00B242CD" w:rsidRDefault="008F18D4"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lastRenderedPageBreak/>
        <w:t xml:space="preserve">The </w:t>
      </w:r>
      <w:r w:rsidR="00B242CD">
        <w:rPr>
          <w:rFonts w:eastAsia="Times New Roman" w:cs="Arial"/>
        </w:rPr>
        <w:t xml:space="preserve">2021 staff survey </w:t>
      </w:r>
      <w:r>
        <w:rPr>
          <w:rFonts w:eastAsia="Times New Roman" w:cs="Arial"/>
        </w:rPr>
        <w:t xml:space="preserve">has been </w:t>
      </w:r>
      <w:r w:rsidR="00B242CD">
        <w:rPr>
          <w:rFonts w:eastAsia="Times New Roman" w:cs="Arial"/>
        </w:rPr>
        <w:t>completed</w:t>
      </w:r>
      <w:r w:rsidR="00E42F19">
        <w:rPr>
          <w:rFonts w:eastAsia="Times New Roman" w:cs="Arial"/>
        </w:rPr>
        <w:t xml:space="preserve">, and </w:t>
      </w:r>
      <w:r w:rsidR="00B242CD">
        <w:rPr>
          <w:rFonts w:eastAsia="Times New Roman" w:cs="Arial"/>
        </w:rPr>
        <w:t xml:space="preserve">planning workshops </w:t>
      </w:r>
      <w:r w:rsidR="00E42F19">
        <w:rPr>
          <w:rFonts w:eastAsia="Times New Roman" w:cs="Arial"/>
        </w:rPr>
        <w:t>have been held</w:t>
      </w:r>
      <w:r w:rsidR="00B242CD">
        <w:rPr>
          <w:rFonts w:eastAsia="Times New Roman" w:cs="Arial"/>
        </w:rPr>
        <w:t xml:space="preserve"> with all D</w:t>
      </w:r>
      <w:r w:rsidR="00BC7503">
        <w:rPr>
          <w:rFonts w:eastAsia="Times New Roman" w:cs="Arial"/>
        </w:rPr>
        <w:t xml:space="preserve">irectorate </w:t>
      </w:r>
      <w:r w:rsidR="00B242CD">
        <w:rPr>
          <w:rFonts w:eastAsia="Times New Roman" w:cs="Arial"/>
        </w:rPr>
        <w:t>L</w:t>
      </w:r>
      <w:r w:rsidR="00BC7503">
        <w:rPr>
          <w:rFonts w:eastAsia="Times New Roman" w:cs="Arial"/>
        </w:rPr>
        <w:t xml:space="preserve">eadership </w:t>
      </w:r>
      <w:r w:rsidR="00B242CD">
        <w:rPr>
          <w:rFonts w:eastAsia="Times New Roman" w:cs="Arial"/>
        </w:rPr>
        <w:t>T</w:t>
      </w:r>
      <w:r w:rsidR="00BC7503">
        <w:rPr>
          <w:rFonts w:eastAsia="Times New Roman" w:cs="Arial"/>
        </w:rPr>
        <w:t>eam</w:t>
      </w:r>
      <w:r w:rsidR="00B242CD">
        <w:rPr>
          <w:rFonts w:eastAsia="Times New Roman" w:cs="Arial"/>
        </w:rPr>
        <w:t>s to identify a small number of initial engagement priorities for each directorate and action plan for making progress against them</w:t>
      </w:r>
      <w:r w:rsidR="00E42F19">
        <w:rPr>
          <w:rFonts w:eastAsia="Times New Roman" w:cs="Arial"/>
        </w:rPr>
        <w:t>.</w:t>
      </w:r>
    </w:p>
    <w:p w14:paraId="5BAD1B1A" w14:textId="01D83788" w:rsidR="00B242CD" w:rsidRDefault="00086C9E"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W</w:t>
      </w:r>
      <w:r w:rsidR="00E42F19">
        <w:rPr>
          <w:rFonts w:eastAsia="Times New Roman" w:cs="Arial"/>
        </w:rPr>
        <w:t>ork is underway</w:t>
      </w:r>
      <w:r w:rsidR="00B242CD">
        <w:rPr>
          <w:rFonts w:eastAsia="Times New Roman" w:cs="Arial"/>
        </w:rPr>
        <w:t xml:space="preserve"> to establish governance and </w:t>
      </w:r>
      <w:r w:rsidR="00E42F19">
        <w:rPr>
          <w:rFonts w:eastAsia="Times New Roman" w:cs="Arial"/>
        </w:rPr>
        <w:t xml:space="preserve">a </w:t>
      </w:r>
      <w:r w:rsidR="00B242CD">
        <w:rPr>
          <w:rFonts w:eastAsia="Times New Roman" w:cs="Arial"/>
        </w:rPr>
        <w:t xml:space="preserve">work programme for </w:t>
      </w:r>
      <w:r>
        <w:rPr>
          <w:rFonts w:eastAsia="Times New Roman" w:cs="Arial"/>
        </w:rPr>
        <w:t xml:space="preserve">the </w:t>
      </w:r>
      <w:r w:rsidR="00B242CD">
        <w:rPr>
          <w:rFonts w:eastAsia="Times New Roman" w:cs="Arial"/>
        </w:rPr>
        <w:t>Customer Experience Board</w:t>
      </w:r>
      <w:r>
        <w:rPr>
          <w:rFonts w:eastAsia="Times New Roman" w:cs="Arial"/>
        </w:rPr>
        <w:t>.</w:t>
      </w:r>
    </w:p>
    <w:p w14:paraId="1AF5AAE9" w14:textId="2FCE0D07" w:rsidR="00B242CD" w:rsidRDefault="00086C9E"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 xml:space="preserve">A </w:t>
      </w:r>
      <w:r w:rsidR="00B242CD">
        <w:rPr>
          <w:rFonts w:eastAsia="Times New Roman" w:cs="Arial"/>
        </w:rPr>
        <w:t>performance dashboard for Staff Experience workstream</w:t>
      </w:r>
      <w:r>
        <w:rPr>
          <w:rFonts w:eastAsia="Times New Roman" w:cs="Arial"/>
        </w:rPr>
        <w:t xml:space="preserve"> is being</w:t>
      </w:r>
      <w:r w:rsidR="00B242CD">
        <w:rPr>
          <w:rFonts w:eastAsia="Times New Roman" w:cs="Arial"/>
        </w:rPr>
        <w:t xml:space="preserve"> developed</w:t>
      </w:r>
      <w:r>
        <w:rPr>
          <w:rFonts w:eastAsia="Times New Roman" w:cs="Arial"/>
        </w:rPr>
        <w:t>.</w:t>
      </w:r>
    </w:p>
    <w:p w14:paraId="5DAA66CA" w14:textId="1ADEC954" w:rsidR="00B242CD" w:rsidRDefault="00B242CD" w:rsidP="00B242CD">
      <w:pPr>
        <w:pStyle w:val="ListParagraph"/>
        <w:numPr>
          <w:ilvl w:val="0"/>
          <w:numId w:val="16"/>
        </w:numPr>
        <w:autoSpaceDE/>
        <w:autoSpaceDN/>
        <w:adjustRightInd/>
        <w:spacing w:after="0"/>
        <w:contextualSpacing w:val="0"/>
        <w:jc w:val="left"/>
        <w:rPr>
          <w:rFonts w:eastAsia="Times New Roman" w:cs="Arial"/>
        </w:rPr>
      </w:pPr>
      <w:r>
        <w:rPr>
          <w:rFonts w:eastAsia="Times New Roman" w:cs="Arial"/>
        </w:rPr>
        <w:t xml:space="preserve">Planning </w:t>
      </w:r>
      <w:r w:rsidR="00C04C70">
        <w:rPr>
          <w:rFonts w:eastAsia="Times New Roman" w:cs="Arial"/>
        </w:rPr>
        <w:t xml:space="preserve">is underway </w:t>
      </w:r>
      <w:r>
        <w:rPr>
          <w:rFonts w:eastAsia="Times New Roman" w:cs="Arial"/>
        </w:rPr>
        <w:t>for a revised approach to performance management which provides visibility from individual to team to service level performance, enabling a culture of high performing teams</w:t>
      </w:r>
      <w:r w:rsidR="00E8614D">
        <w:rPr>
          <w:rFonts w:eastAsia="Times New Roman" w:cs="Arial"/>
        </w:rPr>
        <w:t>.</w:t>
      </w:r>
    </w:p>
    <w:p w14:paraId="3CE70054" w14:textId="77777777" w:rsidR="00377DCD" w:rsidRPr="00E8614D" w:rsidRDefault="00377DCD" w:rsidP="00B84758">
      <w:pPr>
        <w:autoSpaceDE/>
        <w:autoSpaceDN/>
        <w:adjustRightInd/>
        <w:spacing w:after="0"/>
        <w:jc w:val="left"/>
        <w:rPr>
          <w:b/>
          <w:bCs/>
          <w:lang w:eastAsia="en-GB"/>
        </w:rPr>
      </w:pPr>
    </w:p>
    <w:p w14:paraId="7397B853" w14:textId="09F0D227" w:rsidR="00794DD3" w:rsidRPr="00B84758" w:rsidRDefault="00794DD3" w:rsidP="00B84758">
      <w:pPr>
        <w:autoSpaceDE/>
        <w:autoSpaceDN/>
        <w:adjustRightInd/>
        <w:spacing w:after="0"/>
        <w:jc w:val="left"/>
        <w:rPr>
          <w:rFonts w:eastAsia="Times New Roman" w:cs="Arial"/>
        </w:rPr>
      </w:pPr>
      <w:r w:rsidRPr="00794DD3">
        <w:rPr>
          <w:b/>
          <w:bCs/>
          <w:sz w:val="40"/>
          <w:szCs w:val="32"/>
          <w:lang w:eastAsia="en-GB"/>
        </w:rPr>
        <w:t>Protecting our environment</w:t>
      </w:r>
    </w:p>
    <w:p w14:paraId="153AC001" w14:textId="77777777" w:rsidR="001400A4" w:rsidRPr="005E1B76" w:rsidRDefault="001400A4" w:rsidP="001400A4">
      <w:pPr>
        <w:pStyle w:val="NoSpacing"/>
        <w:rPr>
          <w:rFonts w:ascii="Arial" w:hAnsi="Arial" w:cs="Arial"/>
          <w:color w:val="FF0000"/>
        </w:rPr>
      </w:pPr>
    </w:p>
    <w:tbl>
      <w:tblPr>
        <w:tblW w:w="13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367"/>
        <w:gridCol w:w="1701"/>
        <w:gridCol w:w="851"/>
        <w:gridCol w:w="992"/>
        <w:gridCol w:w="992"/>
        <w:gridCol w:w="1466"/>
        <w:gridCol w:w="1747"/>
        <w:gridCol w:w="1747"/>
        <w:gridCol w:w="1491"/>
      </w:tblGrid>
      <w:tr w:rsidR="001400A4" w14:paraId="7E2F7212" w14:textId="77777777" w:rsidTr="00501B28">
        <w:trPr>
          <w:trHeight w:val="474"/>
        </w:trPr>
        <w:tc>
          <w:tcPr>
            <w:tcW w:w="1610" w:type="dxa"/>
            <w:tcBorders>
              <w:top w:val="single" w:sz="4" w:space="0" w:color="auto"/>
              <w:left w:val="single" w:sz="4" w:space="0" w:color="auto"/>
              <w:bottom w:val="single" w:sz="4" w:space="0" w:color="auto"/>
              <w:right w:val="single" w:sz="4" w:space="0" w:color="auto"/>
            </w:tcBorders>
          </w:tcPr>
          <w:p w14:paraId="09E4B5CA" w14:textId="77777777" w:rsidR="001400A4" w:rsidRPr="005269D0" w:rsidRDefault="001400A4" w:rsidP="00501B28">
            <w:pPr>
              <w:pStyle w:val="NoSpacing"/>
              <w:jc w:val="center"/>
              <w:rPr>
                <w:rFonts w:ascii="Arial" w:hAnsi="Arial" w:cs="Arial"/>
                <w:b/>
              </w:rPr>
            </w:pPr>
            <w:r w:rsidRPr="0047796E">
              <w:rPr>
                <w:rFonts w:ascii="Arial" w:hAnsi="Arial" w:cs="Arial"/>
                <w:b/>
                <w:sz w:val="20"/>
                <w:szCs w:val="20"/>
              </w:rPr>
              <w:t>Performance Indicator</w:t>
            </w:r>
          </w:p>
        </w:tc>
        <w:tc>
          <w:tcPr>
            <w:tcW w:w="1367" w:type="dxa"/>
            <w:tcBorders>
              <w:top w:val="single" w:sz="4" w:space="0" w:color="auto"/>
              <w:left w:val="single" w:sz="4" w:space="0" w:color="auto"/>
              <w:bottom w:val="single" w:sz="4" w:space="0" w:color="auto"/>
              <w:right w:val="single" w:sz="4" w:space="0" w:color="auto"/>
            </w:tcBorders>
          </w:tcPr>
          <w:p w14:paraId="261ECE8A" w14:textId="77777777" w:rsidR="001400A4" w:rsidRPr="005269D0" w:rsidRDefault="001400A4" w:rsidP="00AB6544">
            <w:pPr>
              <w:pStyle w:val="NoSpacing"/>
              <w:rPr>
                <w:rFonts w:ascii="Arial" w:hAnsi="Arial" w:cs="Arial"/>
                <w:b/>
              </w:rPr>
            </w:pPr>
            <w:r w:rsidRPr="0047796E">
              <w:rPr>
                <w:rFonts w:ascii="Arial" w:hAnsi="Arial" w:cs="Arial"/>
                <w:b/>
                <w:sz w:val="20"/>
                <w:szCs w:val="20"/>
              </w:rPr>
              <w:t>Frequency</w:t>
            </w:r>
          </w:p>
        </w:tc>
        <w:tc>
          <w:tcPr>
            <w:tcW w:w="1701" w:type="dxa"/>
            <w:tcBorders>
              <w:top w:val="single" w:sz="4" w:space="0" w:color="auto"/>
              <w:left w:val="single" w:sz="4" w:space="0" w:color="auto"/>
              <w:bottom w:val="single" w:sz="4" w:space="0" w:color="auto"/>
              <w:right w:val="single" w:sz="4" w:space="0" w:color="auto"/>
            </w:tcBorders>
          </w:tcPr>
          <w:p w14:paraId="06E65AE7" w14:textId="77777777" w:rsidR="001400A4" w:rsidRPr="005269D0" w:rsidRDefault="001400A4" w:rsidP="00AB6544">
            <w:pPr>
              <w:pStyle w:val="NoSpacing"/>
              <w:rPr>
                <w:rFonts w:ascii="Arial" w:hAnsi="Arial" w:cs="Arial"/>
                <w:b/>
              </w:rPr>
            </w:pPr>
            <w:r w:rsidRPr="0047796E">
              <w:rPr>
                <w:rFonts w:ascii="Arial" w:hAnsi="Arial" w:cs="Arial"/>
                <w:b/>
                <w:sz w:val="20"/>
                <w:szCs w:val="20"/>
              </w:rPr>
              <w:t xml:space="preserve">Directorate </w:t>
            </w:r>
          </w:p>
        </w:tc>
        <w:tc>
          <w:tcPr>
            <w:tcW w:w="851" w:type="dxa"/>
            <w:tcBorders>
              <w:top w:val="single" w:sz="4" w:space="0" w:color="auto"/>
              <w:left w:val="single" w:sz="4" w:space="0" w:color="auto"/>
              <w:bottom w:val="single" w:sz="4" w:space="0" w:color="auto"/>
              <w:right w:val="single" w:sz="4" w:space="0" w:color="auto"/>
            </w:tcBorders>
          </w:tcPr>
          <w:p w14:paraId="4E3A106E" w14:textId="77777777" w:rsidR="001400A4" w:rsidRPr="005269D0" w:rsidRDefault="001400A4" w:rsidP="00AB6544">
            <w:pPr>
              <w:pStyle w:val="NoSpacing"/>
              <w:rPr>
                <w:rFonts w:ascii="Arial" w:hAnsi="Arial" w:cs="Arial"/>
                <w:b/>
              </w:rPr>
            </w:pPr>
            <w:r w:rsidRPr="0047796E">
              <w:rPr>
                <w:rFonts w:ascii="Arial" w:hAnsi="Arial" w:cs="Arial"/>
                <w:b/>
                <w:sz w:val="20"/>
                <w:szCs w:val="20"/>
              </w:rPr>
              <w:t>Good 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9534DD" w14:textId="77777777" w:rsidR="001400A4" w:rsidRPr="005269D0" w:rsidRDefault="001400A4" w:rsidP="00AB6544">
            <w:pPr>
              <w:pStyle w:val="NoSpacing"/>
              <w:rPr>
                <w:rFonts w:ascii="Arial" w:hAnsi="Arial" w:cs="Arial"/>
                <w:b/>
              </w:rPr>
            </w:pPr>
            <w:r w:rsidRPr="00300F36">
              <w:rPr>
                <w:rFonts w:ascii="Arial" w:hAnsi="Arial" w:cs="Arial"/>
                <w:b/>
                <w:sz w:val="20"/>
                <w:szCs w:val="20"/>
              </w:rPr>
              <w:t>2019/20 Outturn</w:t>
            </w:r>
          </w:p>
        </w:tc>
        <w:tc>
          <w:tcPr>
            <w:tcW w:w="992" w:type="dxa"/>
            <w:tcBorders>
              <w:top w:val="single" w:sz="4" w:space="0" w:color="auto"/>
              <w:left w:val="single" w:sz="4" w:space="0" w:color="auto"/>
              <w:bottom w:val="single" w:sz="4" w:space="0" w:color="auto"/>
              <w:right w:val="single" w:sz="4" w:space="0" w:color="auto"/>
            </w:tcBorders>
          </w:tcPr>
          <w:p w14:paraId="0B19C127" w14:textId="77777777" w:rsidR="001400A4" w:rsidRPr="005269D0" w:rsidRDefault="001400A4" w:rsidP="00AB6544">
            <w:pPr>
              <w:pStyle w:val="NoSpacing"/>
              <w:rPr>
                <w:rFonts w:ascii="Arial" w:hAnsi="Arial" w:cs="Arial"/>
                <w:b/>
                <w:bCs/>
                <w:sz w:val="20"/>
                <w:szCs w:val="20"/>
              </w:rPr>
            </w:pPr>
            <w:r w:rsidRPr="62385CB5">
              <w:rPr>
                <w:rFonts w:ascii="Arial" w:hAnsi="Arial" w:cs="Arial"/>
                <w:b/>
                <w:bCs/>
                <w:sz w:val="20"/>
                <w:szCs w:val="20"/>
              </w:rPr>
              <w:t>2020/21 Outturn</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FB16924" w14:textId="0FDF3985" w:rsidR="001400A4" w:rsidRPr="005269D0" w:rsidRDefault="001400A4" w:rsidP="357F4613">
            <w:pPr>
              <w:pStyle w:val="NoSpacing"/>
              <w:jc w:val="center"/>
              <w:rPr>
                <w:rFonts w:ascii="Arial" w:hAnsi="Arial" w:cs="Arial"/>
                <w:b/>
                <w:bCs/>
                <w:sz w:val="20"/>
                <w:szCs w:val="20"/>
              </w:rPr>
            </w:pPr>
            <w:r w:rsidRPr="357F4613">
              <w:rPr>
                <w:rFonts w:ascii="Arial" w:hAnsi="Arial" w:cs="Arial"/>
                <w:b/>
                <w:bCs/>
                <w:sz w:val="20"/>
                <w:szCs w:val="20"/>
              </w:rPr>
              <w:t xml:space="preserve">2021/22 </w:t>
            </w:r>
          </w:p>
          <w:p w14:paraId="7613B7DA" w14:textId="0250D924" w:rsidR="001400A4" w:rsidRPr="005269D0" w:rsidRDefault="001400A4" w:rsidP="357F4613">
            <w:pPr>
              <w:pStyle w:val="NoSpacing"/>
              <w:jc w:val="center"/>
              <w:rPr>
                <w:rFonts w:ascii="Arial" w:hAnsi="Arial" w:cs="Arial"/>
                <w:b/>
                <w:bCs/>
                <w:sz w:val="20"/>
                <w:szCs w:val="20"/>
              </w:rPr>
            </w:pPr>
            <w:r w:rsidRPr="357F4613">
              <w:rPr>
                <w:rFonts w:ascii="Arial" w:hAnsi="Arial" w:cs="Arial"/>
                <w:b/>
                <w:bCs/>
                <w:sz w:val="20"/>
                <w:szCs w:val="20"/>
              </w:rPr>
              <w:t>Quarter 1 (April-June)</w:t>
            </w:r>
          </w:p>
        </w:tc>
        <w:tc>
          <w:tcPr>
            <w:tcW w:w="1747" w:type="dxa"/>
            <w:tcBorders>
              <w:top w:val="single" w:sz="4" w:space="0" w:color="auto"/>
              <w:left w:val="single" w:sz="4" w:space="0" w:color="auto"/>
              <w:bottom w:val="single" w:sz="4" w:space="0" w:color="auto"/>
              <w:right w:val="single" w:sz="4" w:space="0" w:color="auto"/>
            </w:tcBorders>
          </w:tcPr>
          <w:p w14:paraId="50180B4A" w14:textId="630B63A3" w:rsidR="001400A4" w:rsidRDefault="001400A4" w:rsidP="357F4613">
            <w:pPr>
              <w:pStyle w:val="NoSpacing"/>
              <w:jc w:val="center"/>
              <w:rPr>
                <w:rFonts w:ascii="Arial" w:hAnsi="Arial" w:cs="Arial"/>
                <w:b/>
                <w:bCs/>
                <w:sz w:val="20"/>
                <w:szCs w:val="20"/>
              </w:rPr>
            </w:pPr>
            <w:r w:rsidRPr="357F4613">
              <w:rPr>
                <w:rFonts w:ascii="Arial" w:hAnsi="Arial" w:cs="Arial"/>
                <w:b/>
                <w:bCs/>
                <w:sz w:val="20"/>
                <w:szCs w:val="20"/>
              </w:rPr>
              <w:t xml:space="preserve">2021/22 </w:t>
            </w:r>
          </w:p>
          <w:p w14:paraId="6D81195C" w14:textId="62CF5946" w:rsidR="001400A4" w:rsidRDefault="001400A4" w:rsidP="357F4613">
            <w:pPr>
              <w:pStyle w:val="NoSpacing"/>
              <w:jc w:val="center"/>
              <w:rPr>
                <w:rFonts w:ascii="Arial" w:hAnsi="Arial" w:cs="Arial"/>
                <w:b/>
                <w:bCs/>
                <w:sz w:val="20"/>
                <w:szCs w:val="20"/>
              </w:rPr>
            </w:pPr>
            <w:r w:rsidRPr="357F4613">
              <w:rPr>
                <w:rFonts w:ascii="Arial" w:hAnsi="Arial" w:cs="Arial"/>
                <w:b/>
                <w:bCs/>
                <w:sz w:val="20"/>
                <w:szCs w:val="20"/>
              </w:rPr>
              <w:t xml:space="preserve">Quarter 2 </w:t>
            </w:r>
          </w:p>
          <w:p w14:paraId="0CB6BF4F" w14:textId="77777777" w:rsidR="001400A4" w:rsidRPr="62385CB5" w:rsidRDefault="001400A4" w:rsidP="357F4613">
            <w:pPr>
              <w:pStyle w:val="NoSpacing"/>
              <w:jc w:val="center"/>
              <w:rPr>
                <w:rFonts w:ascii="Arial" w:hAnsi="Arial" w:cs="Arial"/>
                <w:b/>
                <w:bCs/>
                <w:sz w:val="20"/>
                <w:szCs w:val="20"/>
              </w:rPr>
            </w:pPr>
            <w:r w:rsidRPr="357F4613">
              <w:rPr>
                <w:rFonts w:ascii="Arial" w:hAnsi="Arial" w:cs="Arial"/>
                <w:b/>
                <w:bCs/>
                <w:sz w:val="18"/>
                <w:szCs w:val="18"/>
              </w:rPr>
              <w:t>(July – Sep)</w:t>
            </w:r>
          </w:p>
        </w:tc>
        <w:tc>
          <w:tcPr>
            <w:tcW w:w="1747" w:type="dxa"/>
            <w:tcBorders>
              <w:top w:val="single" w:sz="4" w:space="0" w:color="auto"/>
              <w:left w:val="single" w:sz="4" w:space="0" w:color="auto"/>
              <w:bottom w:val="single" w:sz="4" w:space="0" w:color="auto"/>
              <w:right w:val="single" w:sz="4" w:space="0" w:color="auto"/>
            </w:tcBorders>
          </w:tcPr>
          <w:p w14:paraId="688895F4" w14:textId="541A87A6" w:rsidR="33C0D36C" w:rsidRDefault="33C0D36C" w:rsidP="357F4613">
            <w:pPr>
              <w:pStyle w:val="NoSpacing"/>
              <w:jc w:val="center"/>
              <w:rPr>
                <w:rFonts w:ascii="Arial" w:hAnsi="Arial" w:cs="Arial"/>
                <w:b/>
                <w:bCs/>
                <w:sz w:val="20"/>
                <w:szCs w:val="20"/>
              </w:rPr>
            </w:pPr>
            <w:r w:rsidRPr="357F4613">
              <w:rPr>
                <w:rFonts w:ascii="Arial" w:hAnsi="Arial" w:cs="Arial"/>
                <w:b/>
                <w:bCs/>
                <w:sz w:val="20"/>
                <w:szCs w:val="20"/>
              </w:rPr>
              <w:t xml:space="preserve">2021/22 </w:t>
            </w:r>
          </w:p>
          <w:p w14:paraId="3751542C" w14:textId="6FB8F922" w:rsidR="33C0D36C" w:rsidRDefault="33C0D36C" w:rsidP="357F4613">
            <w:pPr>
              <w:pStyle w:val="NoSpacing"/>
              <w:jc w:val="center"/>
              <w:rPr>
                <w:rFonts w:ascii="Arial" w:hAnsi="Arial" w:cs="Arial"/>
                <w:b/>
                <w:bCs/>
                <w:sz w:val="20"/>
                <w:szCs w:val="20"/>
              </w:rPr>
            </w:pPr>
            <w:r w:rsidRPr="357F4613">
              <w:rPr>
                <w:rFonts w:ascii="Arial" w:hAnsi="Arial" w:cs="Arial"/>
                <w:b/>
                <w:bCs/>
                <w:sz w:val="20"/>
                <w:szCs w:val="20"/>
              </w:rPr>
              <w:t xml:space="preserve">Quarter 3 </w:t>
            </w:r>
          </w:p>
          <w:p w14:paraId="5661F65F" w14:textId="69110BF2" w:rsidR="33C0D36C" w:rsidRDefault="33C0D36C" w:rsidP="357F4613">
            <w:pPr>
              <w:pStyle w:val="NoSpacing"/>
              <w:jc w:val="center"/>
              <w:rPr>
                <w:rFonts w:ascii="Arial" w:hAnsi="Arial" w:cs="Arial"/>
                <w:b/>
                <w:bCs/>
                <w:sz w:val="20"/>
                <w:szCs w:val="20"/>
              </w:rPr>
            </w:pPr>
            <w:r w:rsidRPr="357F4613">
              <w:rPr>
                <w:rFonts w:ascii="Arial" w:hAnsi="Arial" w:cs="Arial"/>
                <w:b/>
                <w:bCs/>
                <w:sz w:val="18"/>
                <w:szCs w:val="18"/>
              </w:rPr>
              <w:t>(Oct– Dec)</w:t>
            </w:r>
          </w:p>
          <w:p w14:paraId="50C9BE4B" w14:textId="68AF3081" w:rsidR="357F4613" w:rsidRDefault="357F4613" w:rsidP="357F4613">
            <w:pPr>
              <w:pStyle w:val="NoSpacing"/>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59D5E7EE" w14:textId="2B255581" w:rsidR="001400A4" w:rsidRPr="005269D0" w:rsidRDefault="001400A4" w:rsidP="00AB6544">
            <w:pPr>
              <w:pStyle w:val="NoSpacing"/>
              <w:jc w:val="center"/>
              <w:rPr>
                <w:rFonts w:ascii="Arial" w:hAnsi="Arial" w:cs="Arial"/>
                <w:b/>
                <w:bCs/>
              </w:rPr>
            </w:pPr>
            <w:r w:rsidRPr="62385CB5">
              <w:rPr>
                <w:rFonts w:ascii="Arial" w:hAnsi="Arial" w:cs="Arial"/>
                <w:b/>
                <w:bCs/>
                <w:sz w:val="20"/>
                <w:szCs w:val="20"/>
              </w:rPr>
              <w:t>20</w:t>
            </w:r>
            <w:r w:rsidR="00FA6A60">
              <w:rPr>
                <w:rFonts w:ascii="Arial" w:hAnsi="Arial" w:cs="Arial"/>
                <w:b/>
                <w:bCs/>
                <w:sz w:val="20"/>
                <w:szCs w:val="20"/>
              </w:rPr>
              <w:t>35</w:t>
            </w:r>
            <w:r w:rsidRPr="62385CB5">
              <w:rPr>
                <w:rFonts w:ascii="Arial" w:hAnsi="Arial" w:cs="Arial"/>
                <w:b/>
                <w:bCs/>
                <w:sz w:val="20"/>
                <w:szCs w:val="20"/>
              </w:rPr>
              <w:t xml:space="preserve"> Target</w:t>
            </w:r>
          </w:p>
        </w:tc>
      </w:tr>
      <w:tr w:rsidR="00FF69FC" w14:paraId="5895EEBF" w14:textId="77777777" w:rsidTr="00362B8A">
        <w:trPr>
          <w:trHeight w:val="296"/>
        </w:trPr>
        <w:tc>
          <w:tcPr>
            <w:tcW w:w="1610" w:type="dxa"/>
            <w:tcBorders>
              <w:top w:val="single" w:sz="4" w:space="0" w:color="auto"/>
              <w:left w:val="single" w:sz="4" w:space="0" w:color="auto"/>
              <w:bottom w:val="single" w:sz="4" w:space="0" w:color="auto"/>
              <w:right w:val="single" w:sz="4" w:space="0" w:color="auto"/>
            </w:tcBorders>
            <w:hideMark/>
          </w:tcPr>
          <w:p w14:paraId="7D3809DB" w14:textId="016521F7" w:rsidR="001400A4" w:rsidRPr="005269D0" w:rsidRDefault="001400A4" w:rsidP="00C15871">
            <w:pPr>
              <w:pStyle w:val="NoSpacing"/>
              <w:rPr>
                <w:rFonts w:ascii="Arial" w:hAnsi="Arial" w:cs="Arial"/>
              </w:rPr>
            </w:pPr>
            <w:bookmarkStart w:id="2" w:name="_Hlk73689391"/>
            <w:r w:rsidRPr="005269D0">
              <w:rPr>
                <w:rFonts w:ascii="Arial" w:hAnsi="Arial" w:cs="Arial"/>
              </w:rPr>
              <w:t>Percentage of recycling, reuse and composted</w:t>
            </w:r>
            <w:bookmarkEnd w:id="2"/>
          </w:p>
        </w:tc>
        <w:tc>
          <w:tcPr>
            <w:tcW w:w="1367" w:type="dxa"/>
            <w:tcBorders>
              <w:top w:val="single" w:sz="4" w:space="0" w:color="auto"/>
              <w:left w:val="single" w:sz="4" w:space="0" w:color="auto"/>
              <w:bottom w:val="single" w:sz="4" w:space="0" w:color="auto"/>
              <w:right w:val="single" w:sz="4" w:space="0" w:color="auto"/>
            </w:tcBorders>
            <w:hideMark/>
          </w:tcPr>
          <w:p w14:paraId="69DF175C" w14:textId="77777777" w:rsidR="001400A4" w:rsidRPr="005269D0" w:rsidRDefault="001400A4" w:rsidP="00AB6544">
            <w:pPr>
              <w:pStyle w:val="NoSpacing"/>
              <w:rPr>
                <w:rFonts w:ascii="Arial" w:hAnsi="Arial" w:cs="Arial"/>
              </w:rPr>
            </w:pPr>
          </w:p>
          <w:p w14:paraId="2E90078E" w14:textId="77777777" w:rsidR="001400A4" w:rsidRPr="005269D0" w:rsidRDefault="001400A4" w:rsidP="00AB6544">
            <w:pPr>
              <w:pStyle w:val="NoSpacing"/>
              <w:rPr>
                <w:rFonts w:ascii="Arial" w:hAnsi="Arial" w:cs="Arial"/>
                <w:i/>
              </w:rPr>
            </w:pPr>
            <w:r w:rsidRPr="005269D0">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14:paraId="667E91F9" w14:textId="77777777" w:rsidR="001400A4" w:rsidRPr="00501B28" w:rsidRDefault="001400A4" w:rsidP="00AB6544">
            <w:pPr>
              <w:pStyle w:val="NoSpacing"/>
              <w:rPr>
                <w:rFonts w:ascii="Arial" w:hAnsi="Arial" w:cs="Arial"/>
              </w:rPr>
            </w:pPr>
            <w:r w:rsidRPr="00501B28">
              <w:rPr>
                <w:rFonts w:ascii="Arial" w:hAnsi="Arial" w:cs="Arial"/>
              </w:rPr>
              <w:t>Growth, Environment &amp; Transport</w:t>
            </w:r>
          </w:p>
        </w:tc>
        <w:tc>
          <w:tcPr>
            <w:tcW w:w="851" w:type="dxa"/>
            <w:tcBorders>
              <w:top w:val="single" w:sz="4" w:space="0" w:color="auto"/>
              <w:left w:val="single" w:sz="4" w:space="0" w:color="auto"/>
              <w:bottom w:val="single" w:sz="4" w:space="0" w:color="auto"/>
              <w:right w:val="single" w:sz="4" w:space="0" w:color="auto"/>
            </w:tcBorders>
          </w:tcPr>
          <w:p w14:paraId="20B2F0EC" w14:textId="77777777" w:rsidR="001400A4" w:rsidRPr="005269D0" w:rsidRDefault="001400A4" w:rsidP="00AB6544">
            <w:pPr>
              <w:pStyle w:val="NoSpacing"/>
              <w:rPr>
                <w:rFonts w:ascii="Arial" w:hAnsi="Arial" w:cs="Arial"/>
              </w:rPr>
            </w:pPr>
          </w:p>
          <w:p w14:paraId="0BD1640E" w14:textId="77777777" w:rsidR="001400A4" w:rsidRPr="005269D0" w:rsidRDefault="001400A4" w:rsidP="00AB6544">
            <w:pPr>
              <w:pStyle w:val="NoSpacing"/>
              <w:rPr>
                <w:rFonts w:ascii="Arial" w:hAnsi="Arial" w:cs="Arial"/>
              </w:rPr>
            </w:pPr>
            <w:r w:rsidRPr="005269D0">
              <w:rPr>
                <w:rFonts w:ascii="Arial" w:hAnsi="Arial" w:cs="Arial"/>
              </w:rPr>
              <w:t>High</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F82A26" w14:textId="77777777" w:rsidR="001400A4" w:rsidRPr="005269D0" w:rsidRDefault="001400A4" w:rsidP="00AB6544">
            <w:pPr>
              <w:pStyle w:val="NoSpacing"/>
              <w:jc w:val="center"/>
              <w:rPr>
                <w:rFonts w:ascii="Arial" w:hAnsi="Arial" w:cs="Arial"/>
              </w:rPr>
            </w:pPr>
            <w:r w:rsidRPr="62385CB5">
              <w:rPr>
                <w:rFonts w:ascii="Arial" w:hAnsi="Arial" w:cs="Arial"/>
              </w:rPr>
              <w:t>45%</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75F56F" w14:textId="39FB852F" w:rsidR="001400A4" w:rsidRPr="005269D0" w:rsidRDefault="001400A4" w:rsidP="00AB6544">
            <w:pPr>
              <w:pStyle w:val="NoSpacing"/>
              <w:jc w:val="center"/>
              <w:rPr>
                <w:rFonts w:ascii="Arial" w:hAnsi="Arial" w:cs="Arial"/>
              </w:rPr>
            </w:pPr>
            <w:r w:rsidRPr="62385CB5">
              <w:rPr>
                <w:rFonts w:ascii="Arial" w:hAnsi="Arial" w:cs="Arial"/>
              </w:rPr>
              <w:t>44.</w:t>
            </w:r>
            <w:r w:rsidR="00313392">
              <w:rPr>
                <w:rFonts w:ascii="Arial" w:hAnsi="Arial" w:cs="Arial"/>
              </w:rPr>
              <w:t>6</w:t>
            </w:r>
            <w:r w:rsidRPr="62385CB5">
              <w:rPr>
                <w:rFonts w:ascii="Arial" w:hAnsi="Arial" w:cs="Arial"/>
              </w:rPr>
              <w:t>%</w:t>
            </w:r>
          </w:p>
        </w:tc>
        <w:tc>
          <w:tcPr>
            <w:tcW w:w="14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1556017" w14:textId="4B1DC45F" w:rsidR="001400A4" w:rsidRPr="005269D0" w:rsidRDefault="001400A4" w:rsidP="00AB6544">
            <w:pPr>
              <w:pStyle w:val="NoSpacing"/>
              <w:jc w:val="center"/>
              <w:rPr>
                <w:rFonts w:ascii="Arial" w:hAnsi="Arial" w:cs="Arial"/>
              </w:rPr>
            </w:pPr>
            <w:r w:rsidRPr="4E6013FB">
              <w:rPr>
                <w:rFonts w:ascii="Arial" w:hAnsi="Arial" w:cs="Arial"/>
              </w:rPr>
              <w:t>45%</w:t>
            </w:r>
          </w:p>
        </w:tc>
        <w:tc>
          <w:tcPr>
            <w:tcW w:w="174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354381B" w14:textId="25D2D284" w:rsidR="001400A4" w:rsidRPr="005269D0" w:rsidRDefault="32A08338" w:rsidP="00362B8A">
            <w:pPr>
              <w:pStyle w:val="NoSpacing"/>
              <w:jc w:val="center"/>
              <w:rPr>
                <w:rFonts w:ascii="Arial" w:hAnsi="Arial" w:cs="Arial"/>
              </w:rPr>
            </w:pPr>
            <w:r w:rsidRPr="357F4613">
              <w:rPr>
                <w:rFonts w:ascii="Arial" w:hAnsi="Arial" w:cs="Arial"/>
              </w:rPr>
              <w:t>43%</w:t>
            </w:r>
          </w:p>
        </w:tc>
        <w:tc>
          <w:tcPr>
            <w:tcW w:w="174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4C383" w14:textId="6D0D0EC0" w:rsidR="3C609DA9" w:rsidRDefault="3C609DA9" w:rsidP="00362B8A">
            <w:pPr>
              <w:pStyle w:val="NoSpacing"/>
              <w:jc w:val="center"/>
              <w:rPr>
                <w:rFonts w:ascii="Arial" w:hAnsi="Arial" w:cs="Arial"/>
              </w:rPr>
            </w:pPr>
            <w:r w:rsidRPr="357F4613">
              <w:rPr>
                <w:rFonts w:ascii="Arial" w:hAnsi="Arial" w:cs="Arial"/>
              </w:rPr>
              <w:t>43%</w:t>
            </w:r>
            <w:r w:rsidR="00F41C82">
              <w:rPr>
                <w:rFonts w:ascii="Arial" w:hAnsi="Arial" w:cs="Arial"/>
              </w:rPr>
              <w:t>*</w:t>
            </w:r>
          </w:p>
        </w:tc>
        <w:tc>
          <w:tcPr>
            <w:tcW w:w="1491" w:type="dxa"/>
            <w:tcBorders>
              <w:top w:val="single" w:sz="4" w:space="0" w:color="auto"/>
              <w:left w:val="single" w:sz="4" w:space="0" w:color="auto"/>
              <w:bottom w:val="single" w:sz="4" w:space="0" w:color="auto"/>
              <w:right w:val="single" w:sz="4" w:space="0" w:color="auto"/>
            </w:tcBorders>
          </w:tcPr>
          <w:p w14:paraId="60F95745" w14:textId="0DD43CE3" w:rsidR="001400A4" w:rsidRPr="005269D0" w:rsidRDefault="009066FC" w:rsidP="00AB6544">
            <w:pPr>
              <w:pStyle w:val="NoSpacing"/>
              <w:jc w:val="center"/>
              <w:rPr>
                <w:rFonts w:ascii="Arial" w:hAnsi="Arial" w:cs="Arial"/>
              </w:rPr>
            </w:pPr>
            <w:r w:rsidRPr="00F50AE1">
              <w:rPr>
                <w:rFonts w:ascii="Arial" w:hAnsi="Arial" w:cs="Arial"/>
              </w:rPr>
              <w:t>65</w:t>
            </w:r>
            <w:r w:rsidR="001400A4" w:rsidRPr="00F50AE1">
              <w:rPr>
                <w:rFonts w:ascii="Arial" w:hAnsi="Arial" w:cs="Arial"/>
              </w:rPr>
              <w:t xml:space="preserve">% </w:t>
            </w:r>
            <w:r w:rsidR="00F50AE1">
              <w:rPr>
                <w:rFonts w:ascii="Arial" w:hAnsi="Arial" w:cs="Arial"/>
              </w:rPr>
              <w:t>(</w:t>
            </w:r>
            <w:r w:rsidR="00FA6A60" w:rsidRPr="00F50AE1">
              <w:rPr>
                <w:rFonts w:ascii="Arial" w:hAnsi="Arial" w:cs="Arial"/>
              </w:rPr>
              <w:t>target changed see rel</w:t>
            </w:r>
            <w:r w:rsidR="00F50AE1" w:rsidRPr="00F50AE1">
              <w:rPr>
                <w:rFonts w:ascii="Arial" w:hAnsi="Arial" w:cs="Arial"/>
              </w:rPr>
              <w:t>ated note below)</w:t>
            </w:r>
            <w:r w:rsidR="001400A4" w:rsidRPr="00F50AE1">
              <w:rPr>
                <w:rFonts w:ascii="Arial" w:hAnsi="Arial" w:cs="Arial"/>
              </w:rPr>
              <w:t>)</w:t>
            </w:r>
          </w:p>
        </w:tc>
      </w:tr>
    </w:tbl>
    <w:p w14:paraId="0AF4F8D2" w14:textId="77777777" w:rsidR="001400A4" w:rsidRDefault="001400A4" w:rsidP="001400A4">
      <w:pPr>
        <w:pStyle w:val="NoSpacing"/>
        <w:jc w:val="both"/>
        <w:rPr>
          <w:i/>
          <w:iCs/>
          <w:sz w:val="18"/>
          <w:szCs w:val="18"/>
        </w:rPr>
      </w:pPr>
      <w:r w:rsidRPr="62385CB5">
        <w:rPr>
          <w:rFonts w:ascii="Arial" w:eastAsia="Arial" w:hAnsi="Arial" w:cs="Arial"/>
          <w:i/>
          <w:iCs/>
          <w:sz w:val="18"/>
          <w:szCs w:val="18"/>
        </w:rPr>
        <w:t>*The recycling % reported each quarter is based on forecast for full year</w:t>
      </w:r>
    </w:p>
    <w:p w14:paraId="72FA4530" w14:textId="77777777" w:rsidR="001400A4" w:rsidRDefault="001400A4" w:rsidP="001400A4">
      <w:pPr>
        <w:pStyle w:val="NoSpacing"/>
        <w:jc w:val="both"/>
        <w:rPr>
          <w:i/>
          <w:iCs/>
          <w:sz w:val="18"/>
          <w:szCs w:val="18"/>
        </w:rPr>
      </w:pPr>
    </w:p>
    <w:p w14:paraId="548D472B" w14:textId="77777777" w:rsidR="00534B4A" w:rsidRDefault="001400A4" w:rsidP="00BA0C6C">
      <w:pPr>
        <w:rPr>
          <w:rFonts w:eastAsia="Arial" w:cs="Arial"/>
        </w:rPr>
      </w:pPr>
      <w:bookmarkStart w:id="3" w:name="_Hlk86055380"/>
      <w:r w:rsidRPr="0EA03FE1">
        <w:rPr>
          <w:rFonts w:cs="Arial"/>
          <w:b/>
          <w:bCs/>
        </w:rPr>
        <w:t>Recycling</w:t>
      </w:r>
      <w:r w:rsidR="005F7186" w:rsidRPr="0EA03FE1">
        <w:rPr>
          <w:rFonts w:cs="Arial"/>
          <w:b/>
          <w:bCs/>
        </w:rPr>
        <w:t>.</w:t>
      </w:r>
      <w:r w:rsidRPr="0EA03FE1">
        <w:rPr>
          <w:rFonts w:eastAsia="Arial" w:cs="Arial"/>
        </w:rPr>
        <w:t xml:space="preserve"> </w:t>
      </w:r>
      <w:r w:rsidR="003A0598">
        <w:rPr>
          <w:rFonts w:eastAsia="Arial" w:cs="Arial"/>
        </w:rPr>
        <w:t>The f</w:t>
      </w:r>
      <w:r w:rsidR="2E0F8AAC" w:rsidRPr="0EA03FE1">
        <w:rPr>
          <w:rFonts w:eastAsia="Arial" w:cs="Arial"/>
        </w:rPr>
        <w:t>orecast for this year remain</w:t>
      </w:r>
      <w:r w:rsidR="003A0598">
        <w:rPr>
          <w:rFonts w:eastAsia="Arial" w:cs="Arial"/>
        </w:rPr>
        <w:t>s</w:t>
      </w:r>
      <w:r w:rsidR="2E0F8AAC" w:rsidRPr="0EA03FE1">
        <w:rPr>
          <w:rFonts w:eastAsia="Arial" w:cs="Arial"/>
        </w:rPr>
        <w:t xml:space="preserve"> around 43%,</w:t>
      </w:r>
      <w:r w:rsidR="003A0598">
        <w:rPr>
          <w:rFonts w:eastAsia="Arial" w:cs="Arial"/>
        </w:rPr>
        <w:t xml:space="preserve"> which is</w:t>
      </w:r>
      <w:r w:rsidR="2E0F8AAC" w:rsidRPr="0EA03FE1">
        <w:rPr>
          <w:rFonts w:eastAsia="Arial" w:cs="Arial"/>
        </w:rPr>
        <w:t xml:space="preserve"> consistent with Q2 (21/22)</w:t>
      </w:r>
      <w:r w:rsidR="001227C2">
        <w:rPr>
          <w:rFonts w:eastAsia="Arial" w:cs="Arial"/>
        </w:rPr>
        <w:t xml:space="preserve">.  </w:t>
      </w:r>
    </w:p>
    <w:p w14:paraId="6D01C810" w14:textId="342DB349" w:rsidR="00534B4A" w:rsidRDefault="006B73FC" w:rsidP="00BA0C6C">
      <w:pPr>
        <w:rPr>
          <w:rFonts w:eastAsia="Arial" w:cs="Arial"/>
        </w:rPr>
      </w:pPr>
      <w:r>
        <w:rPr>
          <w:rFonts w:eastAsia="Arial" w:cs="Arial"/>
        </w:rPr>
        <w:t>Total household</w:t>
      </w:r>
      <w:r w:rsidR="00AE0E4B">
        <w:rPr>
          <w:rFonts w:eastAsia="Arial" w:cs="Arial"/>
        </w:rPr>
        <w:t xml:space="preserve"> waste</w:t>
      </w:r>
      <w:r w:rsidR="009758C1">
        <w:rPr>
          <w:rFonts w:eastAsia="Arial" w:cs="Arial"/>
        </w:rPr>
        <w:t xml:space="preserve"> was</w:t>
      </w:r>
      <w:r w:rsidR="00AE0E4B">
        <w:rPr>
          <w:rFonts w:eastAsia="Arial" w:cs="Arial"/>
        </w:rPr>
        <w:t xml:space="preserve"> 563,</w:t>
      </w:r>
      <w:r w:rsidR="00185B19">
        <w:rPr>
          <w:rFonts w:eastAsia="Arial" w:cs="Arial"/>
        </w:rPr>
        <w:t>565</w:t>
      </w:r>
      <w:r w:rsidR="002C3FA5">
        <w:rPr>
          <w:rFonts w:eastAsia="Arial" w:cs="Arial"/>
        </w:rPr>
        <w:t xml:space="preserve"> </w:t>
      </w:r>
      <w:r w:rsidR="00185B19">
        <w:rPr>
          <w:rFonts w:eastAsia="Arial" w:cs="Arial"/>
        </w:rPr>
        <w:t>tonnes</w:t>
      </w:r>
      <w:r w:rsidR="002C3FA5">
        <w:rPr>
          <w:rFonts w:eastAsia="Arial" w:cs="Arial"/>
        </w:rPr>
        <w:t xml:space="preserve"> (t)</w:t>
      </w:r>
      <w:r w:rsidR="00185B19">
        <w:rPr>
          <w:rFonts w:eastAsia="Arial" w:cs="Arial"/>
        </w:rPr>
        <w:t xml:space="preserve"> comprising total municipal waste of 609,488 t</w:t>
      </w:r>
      <w:r w:rsidR="002C3FA5">
        <w:rPr>
          <w:rFonts w:eastAsia="Arial" w:cs="Arial"/>
        </w:rPr>
        <w:t xml:space="preserve"> less </w:t>
      </w:r>
      <w:r w:rsidR="00F31F20">
        <w:rPr>
          <w:rFonts w:eastAsia="Arial" w:cs="Arial"/>
        </w:rPr>
        <w:t>45,923</w:t>
      </w:r>
      <w:r w:rsidR="00234DED">
        <w:rPr>
          <w:rFonts w:eastAsia="Arial" w:cs="Arial"/>
        </w:rPr>
        <w:t xml:space="preserve"> </w:t>
      </w:r>
      <w:r w:rsidR="00F31F20">
        <w:rPr>
          <w:rFonts w:eastAsia="Arial" w:cs="Arial"/>
        </w:rPr>
        <w:t xml:space="preserve">t of </w:t>
      </w:r>
      <w:r w:rsidR="002C3FA5">
        <w:rPr>
          <w:rFonts w:eastAsia="Arial" w:cs="Arial"/>
        </w:rPr>
        <w:t>trade, fly-tipped</w:t>
      </w:r>
      <w:r w:rsidR="00234DED">
        <w:rPr>
          <w:rFonts w:eastAsia="Arial" w:cs="Arial"/>
        </w:rPr>
        <w:t xml:space="preserve"> waste</w:t>
      </w:r>
      <w:r w:rsidR="002C3FA5">
        <w:rPr>
          <w:rFonts w:eastAsia="Arial" w:cs="Arial"/>
        </w:rPr>
        <w:t xml:space="preserve"> and rubble</w:t>
      </w:r>
      <w:r w:rsidR="00534B4A">
        <w:rPr>
          <w:rFonts w:eastAsia="Arial" w:cs="Arial"/>
        </w:rPr>
        <w:t>.</w:t>
      </w:r>
      <w:r w:rsidR="00666A49">
        <w:rPr>
          <w:rFonts w:eastAsia="Arial" w:cs="Arial"/>
        </w:rPr>
        <w:t xml:space="preserve"> There w</w:t>
      </w:r>
      <w:r w:rsidR="00B5563E">
        <w:rPr>
          <w:rFonts w:eastAsia="Arial" w:cs="Arial"/>
        </w:rPr>
        <w:t>ere</w:t>
      </w:r>
      <w:r w:rsidR="00666A49">
        <w:rPr>
          <w:rFonts w:eastAsia="Arial" w:cs="Arial"/>
        </w:rPr>
        <w:t xml:space="preserve"> </w:t>
      </w:r>
      <w:r w:rsidR="008A7C0D">
        <w:rPr>
          <w:rFonts w:eastAsia="Arial" w:cs="Arial"/>
        </w:rPr>
        <w:t>151,836</w:t>
      </w:r>
      <w:r w:rsidR="002D7C93">
        <w:rPr>
          <w:rFonts w:eastAsia="Arial" w:cs="Arial"/>
        </w:rPr>
        <w:t xml:space="preserve"> </w:t>
      </w:r>
      <w:r w:rsidR="008A7C0D">
        <w:rPr>
          <w:rFonts w:eastAsia="Arial" w:cs="Arial"/>
        </w:rPr>
        <w:t>t of recycling and 91,</w:t>
      </w:r>
      <w:r w:rsidR="00D34760">
        <w:rPr>
          <w:rFonts w:eastAsia="Arial" w:cs="Arial"/>
        </w:rPr>
        <w:t>861</w:t>
      </w:r>
      <w:r w:rsidR="002D7C93">
        <w:rPr>
          <w:rFonts w:eastAsia="Arial" w:cs="Arial"/>
        </w:rPr>
        <w:t xml:space="preserve"> </w:t>
      </w:r>
      <w:r w:rsidR="00D34760">
        <w:rPr>
          <w:rFonts w:eastAsia="Arial" w:cs="Arial"/>
        </w:rPr>
        <w:t>t of composting</w:t>
      </w:r>
      <w:r w:rsidR="00666A49">
        <w:rPr>
          <w:rFonts w:eastAsia="Arial" w:cs="Arial"/>
        </w:rPr>
        <w:t xml:space="preserve">, resulting in a percentage rate of 43%. </w:t>
      </w:r>
      <w:r w:rsidR="00D34760">
        <w:rPr>
          <w:rFonts w:eastAsia="Arial" w:cs="Arial"/>
        </w:rPr>
        <w:t xml:space="preserve"> </w:t>
      </w:r>
    </w:p>
    <w:p w14:paraId="66BCF080" w14:textId="30F1801F" w:rsidR="003132D6" w:rsidRPr="00696449" w:rsidRDefault="00472ECE" w:rsidP="0EA03FE1">
      <w:pPr>
        <w:rPr>
          <w:rFonts w:eastAsia="Arial" w:cs="Arial"/>
        </w:rPr>
      </w:pPr>
      <w:r>
        <w:rPr>
          <w:rFonts w:eastAsiaTheme="minorHAnsi" w:cs="Arial"/>
          <w:color w:val="auto"/>
          <w:sz w:val="22"/>
          <w:szCs w:val="22"/>
        </w:rPr>
        <w:t>T</w:t>
      </w:r>
      <w:r w:rsidR="18A9C405" w:rsidRPr="0EA03FE1">
        <w:rPr>
          <w:rFonts w:eastAsia="Arial" w:cs="Arial"/>
        </w:rPr>
        <w:t xml:space="preserve">here are </w:t>
      </w:r>
      <w:r w:rsidR="2E0F8AAC" w:rsidRPr="0EA03FE1">
        <w:rPr>
          <w:rFonts w:eastAsia="Arial" w:cs="Arial"/>
        </w:rPr>
        <w:t xml:space="preserve">signs of doorstep collected residual waste reducing, down by 3% </w:t>
      </w:r>
      <w:r w:rsidR="00EC43A5">
        <w:rPr>
          <w:rFonts w:eastAsia="Arial" w:cs="Arial"/>
        </w:rPr>
        <w:t>(around</w:t>
      </w:r>
      <w:r w:rsidR="008565F0">
        <w:rPr>
          <w:rFonts w:eastAsia="Arial" w:cs="Arial"/>
        </w:rPr>
        <w:t xml:space="preserve"> </w:t>
      </w:r>
      <w:r w:rsidR="2E0F8AAC" w:rsidRPr="0EA03FE1">
        <w:rPr>
          <w:rFonts w:eastAsia="Arial" w:cs="Arial"/>
        </w:rPr>
        <w:t>7,000</w:t>
      </w:r>
      <w:r w:rsidR="002D7C93">
        <w:rPr>
          <w:rFonts w:eastAsia="Arial" w:cs="Arial"/>
        </w:rPr>
        <w:t xml:space="preserve"> </w:t>
      </w:r>
      <w:r w:rsidR="2E0F8AAC" w:rsidRPr="0EA03FE1">
        <w:rPr>
          <w:rFonts w:eastAsia="Arial" w:cs="Arial"/>
        </w:rPr>
        <w:t>t</w:t>
      </w:r>
      <w:r w:rsidR="00EC43A5">
        <w:rPr>
          <w:rFonts w:eastAsia="Arial" w:cs="Arial"/>
        </w:rPr>
        <w:t>)</w:t>
      </w:r>
      <w:r w:rsidR="2E0F8AAC" w:rsidRPr="0EA03FE1">
        <w:rPr>
          <w:rFonts w:eastAsia="Arial" w:cs="Arial"/>
        </w:rPr>
        <w:t xml:space="preserve"> over the nine-month period (April </w:t>
      </w:r>
      <w:r w:rsidR="008565F0">
        <w:rPr>
          <w:rFonts w:eastAsia="Arial" w:cs="Arial"/>
        </w:rPr>
        <w:t>to</w:t>
      </w:r>
      <w:r w:rsidR="2E0F8AAC" w:rsidRPr="0EA03FE1">
        <w:rPr>
          <w:rFonts w:eastAsia="Arial" w:cs="Arial"/>
        </w:rPr>
        <w:t xml:space="preserve"> Dec</w:t>
      </w:r>
      <w:r w:rsidR="008565F0">
        <w:rPr>
          <w:rFonts w:eastAsia="Arial" w:cs="Arial"/>
        </w:rPr>
        <w:t>ember</w:t>
      </w:r>
      <w:r w:rsidR="2E0F8AAC" w:rsidRPr="0EA03FE1">
        <w:rPr>
          <w:rFonts w:eastAsia="Arial" w:cs="Arial"/>
        </w:rPr>
        <w:t xml:space="preserve"> 21)</w:t>
      </w:r>
      <w:r w:rsidR="6CB46FDD" w:rsidRPr="0EA03FE1">
        <w:rPr>
          <w:rFonts w:eastAsia="Arial" w:cs="Arial"/>
        </w:rPr>
        <w:t xml:space="preserve">. </w:t>
      </w:r>
      <w:r w:rsidR="00103704">
        <w:rPr>
          <w:rFonts w:eastAsia="Arial" w:cs="Arial"/>
        </w:rPr>
        <w:t>The s</w:t>
      </w:r>
      <w:r w:rsidR="6CB46FDD" w:rsidRPr="0EA03FE1">
        <w:rPr>
          <w:rFonts w:eastAsia="Arial" w:cs="Arial"/>
        </w:rPr>
        <w:t xml:space="preserve">ervice is </w:t>
      </w:r>
      <w:r w:rsidR="2E0F8AAC" w:rsidRPr="0EA03FE1">
        <w:rPr>
          <w:rFonts w:eastAsia="Arial" w:cs="Arial"/>
        </w:rPr>
        <w:t>still forecasting</w:t>
      </w:r>
      <w:r w:rsidR="00103704">
        <w:rPr>
          <w:rFonts w:eastAsia="Arial" w:cs="Arial"/>
        </w:rPr>
        <w:t xml:space="preserve"> an</w:t>
      </w:r>
      <w:r w:rsidR="2E0F8AAC" w:rsidRPr="0EA03FE1">
        <w:rPr>
          <w:rFonts w:eastAsia="Arial" w:cs="Arial"/>
        </w:rPr>
        <w:t xml:space="preserve"> out-turn at </w:t>
      </w:r>
      <w:r w:rsidR="00103704">
        <w:rPr>
          <w:rFonts w:eastAsia="Arial" w:cs="Arial"/>
        </w:rPr>
        <w:t xml:space="preserve">around </w:t>
      </w:r>
      <w:r w:rsidR="2E0F8AAC" w:rsidRPr="0EA03FE1">
        <w:rPr>
          <w:rFonts w:eastAsia="Arial" w:cs="Arial"/>
        </w:rPr>
        <w:t xml:space="preserve">418,000t </w:t>
      </w:r>
      <w:r w:rsidR="00195760" w:rsidRPr="003D2581">
        <w:rPr>
          <w:rFonts w:eastAsia="Arial" w:cs="Arial"/>
          <w:color w:val="auto"/>
        </w:rPr>
        <w:t>(</w:t>
      </w:r>
      <w:r w:rsidR="004105FF">
        <w:rPr>
          <w:rFonts w:eastAsia="Arial" w:cs="Arial"/>
          <w:color w:val="auto"/>
        </w:rPr>
        <w:t xml:space="preserve">from </w:t>
      </w:r>
      <w:r w:rsidR="00195760" w:rsidRPr="003D2581">
        <w:rPr>
          <w:rFonts w:cs="Arial"/>
          <w:color w:val="auto"/>
        </w:rPr>
        <w:t xml:space="preserve">total residual waste arisings that </w:t>
      </w:r>
      <w:r w:rsidR="004105FF">
        <w:rPr>
          <w:rFonts w:cs="Arial"/>
          <w:color w:val="auto"/>
        </w:rPr>
        <w:t xml:space="preserve">are </w:t>
      </w:r>
      <w:r w:rsidR="00195760" w:rsidRPr="003D2581">
        <w:rPr>
          <w:rFonts w:cs="Arial"/>
          <w:color w:val="auto"/>
        </w:rPr>
        <w:t>expect</w:t>
      </w:r>
      <w:r w:rsidR="00F50C21">
        <w:rPr>
          <w:rFonts w:cs="Arial"/>
          <w:color w:val="auto"/>
        </w:rPr>
        <w:t>ed</w:t>
      </w:r>
      <w:r w:rsidR="00195760" w:rsidRPr="003D2581">
        <w:rPr>
          <w:rFonts w:cs="Arial"/>
          <w:color w:val="auto"/>
        </w:rPr>
        <w:t xml:space="preserve"> to </w:t>
      </w:r>
      <w:r w:rsidR="004105FF">
        <w:rPr>
          <w:rFonts w:cs="Arial"/>
          <w:color w:val="auto"/>
        </w:rPr>
        <w:t xml:space="preserve">be </w:t>
      </w:r>
      <w:r w:rsidR="00195760" w:rsidRPr="003D2581">
        <w:rPr>
          <w:rFonts w:cs="Arial"/>
          <w:color w:val="auto"/>
        </w:rPr>
        <w:t>treat</w:t>
      </w:r>
      <w:r w:rsidR="004105FF">
        <w:rPr>
          <w:rFonts w:cs="Arial"/>
          <w:color w:val="auto"/>
        </w:rPr>
        <w:t>ed</w:t>
      </w:r>
      <w:r w:rsidR="00195760" w:rsidRPr="003D2581">
        <w:rPr>
          <w:rFonts w:cs="Arial"/>
          <w:color w:val="auto"/>
        </w:rPr>
        <w:t>/dispose</w:t>
      </w:r>
      <w:r w:rsidR="004105FF">
        <w:rPr>
          <w:rFonts w:cs="Arial"/>
          <w:color w:val="auto"/>
        </w:rPr>
        <w:t>d</w:t>
      </w:r>
      <w:r w:rsidR="00195760" w:rsidRPr="003D2581">
        <w:rPr>
          <w:rFonts w:cs="Arial"/>
          <w:color w:val="auto"/>
        </w:rPr>
        <w:t xml:space="preserve"> of</w:t>
      </w:r>
      <w:r w:rsidR="00103704">
        <w:rPr>
          <w:rFonts w:cs="Arial"/>
          <w:color w:val="auto"/>
        </w:rPr>
        <w:t>,</w:t>
      </w:r>
      <w:r w:rsidR="00624865">
        <w:rPr>
          <w:rFonts w:cs="Arial"/>
          <w:color w:val="auto"/>
        </w:rPr>
        <w:t xml:space="preserve"> including Blackpool</w:t>
      </w:r>
      <w:r w:rsidR="00195760" w:rsidRPr="003D2581">
        <w:rPr>
          <w:rFonts w:cs="Arial"/>
          <w:color w:val="auto"/>
        </w:rPr>
        <w:t xml:space="preserve">) </w:t>
      </w:r>
      <w:r w:rsidR="2E0F8AAC" w:rsidRPr="0EA03FE1">
        <w:rPr>
          <w:rFonts w:eastAsia="Arial" w:cs="Arial"/>
        </w:rPr>
        <w:t xml:space="preserve">due to continued high volumes of residual waste at recycling centres. Current levels of kerbside collected recyclables are reported to be lower than in Q2, </w:t>
      </w:r>
      <w:r w:rsidR="003C7A8B">
        <w:rPr>
          <w:rFonts w:eastAsia="Arial" w:cs="Arial"/>
        </w:rPr>
        <w:t>and there continues to be</w:t>
      </w:r>
      <w:r w:rsidR="2E0F8AAC" w:rsidRPr="0EA03FE1">
        <w:rPr>
          <w:rFonts w:eastAsia="Arial" w:cs="Arial"/>
        </w:rPr>
        <w:t xml:space="preserve"> increased recyclables at </w:t>
      </w:r>
      <w:r w:rsidR="003C7A8B">
        <w:rPr>
          <w:rFonts w:eastAsia="Arial" w:cs="Arial"/>
        </w:rPr>
        <w:t>the</w:t>
      </w:r>
      <w:r w:rsidR="2E0F8AAC" w:rsidRPr="0EA03FE1">
        <w:rPr>
          <w:rFonts w:eastAsia="Arial" w:cs="Arial"/>
        </w:rPr>
        <w:t xml:space="preserve"> recycling centres which is a contributing factor in the reduction at kerbside. Tonnages at recycling centres </w:t>
      </w:r>
      <w:r w:rsidR="00B2281E">
        <w:rPr>
          <w:rFonts w:eastAsia="Arial" w:cs="Arial"/>
        </w:rPr>
        <w:t>have shown</w:t>
      </w:r>
      <w:r w:rsidR="2E0F8AAC" w:rsidRPr="0EA03FE1">
        <w:rPr>
          <w:rFonts w:eastAsia="Arial" w:cs="Arial"/>
        </w:rPr>
        <w:t xml:space="preserve"> signs of returning to</w:t>
      </w:r>
      <w:r w:rsidR="00B2281E">
        <w:rPr>
          <w:rFonts w:eastAsia="Arial" w:cs="Arial"/>
        </w:rPr>
        <w:t xml:space="preserve"> </w:t>
      </w:r>
      <w:r w:rsidR="2E0F8AAC" w:rsidRPr="0EA03FE1">
        <w:rPr>
          <w:rFonts w:eastAsia="Arial" w:cs="Arial"/>
        </w:rPr>
        <w:t>pre pandemic</w:t>
      </w:r>
      <w:r w:rsidR="00B2281E">
        <w:rPr>
          <w:rFonts w:eastAsia="Arial" w:cs="Arial"/>
        </w:rPr>
        <w:t xml:space="preserve"> levels</w:t>
      </w:r>
      <w:r w:rsidR="2E0F8AAC" w:rsidRPr="0EA03FE1">
        <w:rPr>
          <w:rFonts w:eastAsia="Arial" w:cs="Arial"/>
        </w:rPr>
        <w:t xml:space="preserve"> over the last nine months</w:t>
      </w:r>
      <w:r w:rsidR="00AB7BE1">
        <w:rPr>
          <w:rFonts w:eastAsia="Arial" w:cs="Arial"/>
        </w:rPr>
        <w:t xml:space="preserve"> as</w:t>
      </w:r>
      <w:r w:rsidR="2E0F8AAC" w:rsidRPr="0EA03FE1">
        <w:rPr>
          <w:rFonts w:eastAsia="Arial" w:cs="Arial"/>
        </w:rPr>
        <w:t xml:space="preserve"> throughput is 85%.</w:t>
      </w:r>
    </w:p>
    <w:p w14:paraId="6D4A631F" w14:textId="5C82CFF2" w:rsidR="003132D6" w:rsidRPr="00696449" w:rsidRDefault="2E0F8AAC" w:rsidP="0EA03FE1">
      <w:pPr>
        <w:rPr>
          <w:rFonts w:eastAsia="Arial" w:cs="Arial"/>
        </w:rPr>
      </w:pPr>
      <w:r w:rsidRPr="0EA03FE1">
        <w:rPr>
          <w:rFonts w:eastAsia="Arial" w:cs="Arial"/>
        </w:rPr>
        <w:lastRenderedPageBreak/>
        <w:t xml:space="preserve">In terms of the processing of residual waste at Thornton and Leyland Waste Treatment Facilities, the plants continue to operate at full capacity, with anticipated output tonnes consistent with last year. </w:t>
      </w:r>
    </w:p>
    <w:p w14:paraId="2888703D" w14:textId="28646016" w:rsidR="00624865" w:rsidRDefault="00926DF5" w:rsidP="0EA03FE1">
      <w:r w:rsidRPr="00137A58">
        <w:t xml:space="preserve">Please note the 50% target previously reported is no longer relevant as it was an EU member state target. In its Resources and Waste Strategy government has suggested a potential national target of 65% by 2035. This hasn't been transcribed into regulation yet (the Environment Act got royal assent late last year so the regulations will follow from this). However, </w:t>
      </w:r>
      <w:r w:rsidR="00BD1657">
        <w:t xml:space="preserve">this </w:t>
      </w:r>
      <w:r w:rsidRPr="00137A58">
        <w:t>target</w:t>
      </w:r>
      <w:r w:rsidR="00B747E0">
        <w:t xml:space="preserve"> is the best</w:t>
      </w:r>
      <w:r w:rsidRPr="00137A58">
        <w:t xml:space="preserve"> to use</w:t>
      </w:r>
      <w:r w:rsidR="00B747E0">
        <w:t xml:space="preserve"> current</w:t>
      </w:r>
      <w:r w:rsidR="007827B7">
        <w:t>ly whilst other</w:t>
      </w:r>
      <w:r w:rsidR="00BD1657">
        <w:t xml:space="preserve"> potential</w:t>
      </w:r>
      <w:r w:rsidR="007827B7">
        <w:t xml:space="preserve"> local</w:t>
      </w:r>
      <w:r w:rsidR="00A75B00">
        <w:t xml:space="preserve"> a</w:t>
      </w:r>
      <w:r w:rsidR="00683D1E">
        <w:t xml:space="preserve">nd </w:t>
      </w:r>
      <w:r w:rsidR="00C22009">
        <w:t>'stepped'</w:t>
      </w:r>
      <w:r w:rsidR="00A75B00">
        <w:t xml:space="preserve"> </w:t>
      </w:r>
      <w:r w:rsidR="00C22009">
        <w:t>t</w:t>
      </w:r>
      <w:r w:rsidR="00B01885">
        <w:t>argets towards the</w:t>
      </w:r>
      <w:r w:rsidR="00026771">
        <w:t xml:space="preserve"> 65% by</w:t>
      </w:r>
      <w:r w:rsidR="00B01885">
        <w:t xml:space="preserve"> 2035 </w:t>
      </w:r>
      <w:r w:rsidR="00A75B00">
        <w:t>are considered.</w:t>
      </w:r>
    </w:p>
    <w:p w14:paraId="34C80D26" w14:textId="77777777" w:rsidR="00761C81" w:rsidRPr="00100A60" w:rsidRDefault="00761C81" w:rsidP="0EA03FE1">
      <w:pPr>
        <w:rPr>
          <w:rFonts w:ascii="Calibri" w:eastAsiaTheme="minorHAnsi" w:hAnsi="Calibri" w:cs="Calibri"/>
          <w:color w:val="auto"/>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618"/>
        <w:gridCol w:w="3941"/>
        <w:gridCol w:w="5988"/>
      </w:tblGrid>
      <w:tr w:rsidR="00794DD3" w14:paraId="4EE8A74D" w14:textId="77777777" w:rsidTr="00170D99">
        <w:trPr>
          <w:trHeight w:val="693"/>
        </w:trPr>
        <w:tc>
          <w:tcPr>
            <w:tcW w:w="2487" w:type="dxa"/>
            <w:tcBorders>
              <w:top w:val="single" w:sz="4" w:space="0" w:color="auto"/>
              <w:left w:val="single" w:sz="4" w:space="0" w:color="auto"/>
              <w:bottom w:val="single" w:sz="4" w:space="0" w:color="auto"/>
              <w:right w:val="single" w:sz="4" w:space="0" w:color="auto"/>
            </w:tcBorders>
          </w:tcPr>
          <w:p w14:paraId="53CFF21F" w14:textId="77777777" w:rsidR="00794DD3" w:rsidRPr="00A13FE9" w:rsidRDefault="00794DD3" w:rsidP="00AB6544">
            <w:pPr>
              <w:pStyle w:val="NoSpacing"/>
              <w:rPr>
                <w:rFonts w:ascii="Arial" w:hAnsi="Arial" w:cs="Arial"/>
                <w:b/>
              </w:rPr>
            </w:pPr>
            <w:bookmarkStart w:id="4" w:name="_Hlk95891160"/>
            <w:bookmarkEnd w:id="3"/>
            <w:r w:rsidRPr="00A13FE9">
              <w:rPr>
                <w:rFonts w:ascii="Arial" w:hAnsi="Arial" w:cs="Arial"/>
                <w:b/>
              </w:rPr>
              <w:t>Performance Indicator</w:t>
            </w:r>
          </w:p>
        </w:tc>
        <w:tc>
          <w:tcPr>
            <w:tcW w:w="1618" w:type="dxa"/>
            <w:tcBorders>
              <w:top w:val="single" w:sz="4" w:space="0" w:color="auto"/>
              <w:left w:val="single" w:sz="4" w:space="0" w:color="auto"/>
              <w:bottom w:val="single" w:sz="4" w:space="0" w:color="auto"/>
              <w:right w:val="single" w:sz="4" w:space="0" w:color="auto"/>
            </w:tcBorders>
          </w:tcPr>
          <w:p w14:paraId="6B88801A" w14:textId="77777777" w:rsidR="00794DD3" w:rsidRPr="00A13FE9" w:rsidRDefault="00794DD3" w:rsidP="00AB6544">
            <w:pPr>
              <w:pStyle w:val="NoSpacing"/>
              <w:rPr>
                <w:rFonts w:ascii="Arial" w:hAnsi="Arial" w:cs="Arial"/>
                <w:b/>
              </w:rPr>
            </w:pPr>
            <w:r w:rsidRPr="00A13FE9">
              <w:rPr>
                <w:rFonts w:ascii="Arial" w:hAnsi="Arial" w:cs="Arial"/>
                <w:b/>
              </w:rPr>
              <w:t>Frequency</w:t>
            </w:r>
          </w:p>
        </w:tc>
        <w:tc>
          <w:tcPr>
            <w:tcW w:w="3941" w:type="dxa"/>
            <w:tcBorders>
              <w:top w:val="single" w:sz="4" w:space="0" w:color="auto"/>
              <w:left w:val="single" w:sz="4" w:space="0" w:color="auto"/>
              <w:bottom w:val="single" w:sz="4" w:space="0" w:color="auto"/>
              <w:right w:val="single" w:sz="4" w:space="0" w:color="auto"/>
            </w:tcBorders>
          </w:tcPr>
          <w:p w14:paraId="6EA75469" w14:textId="77777777" w:rsidR="00794DD3" w:rsidRPr="00A13FE9" w:rsidRDefault="00794DD3" w:rsidP="00AB6544">
            <w:pPr>
              <w:pStyle w:val="NoSpacing"/>
              <w:rPr>
                <w:rFonts w:ascii="Arial" w:hAnsi="Arial" w:cs="Arial"/>
                <w:b/>
              </w:rPr>
            </w:pPr>
            <w:r w:rsidRPr="00A13FE9">
              <w:rPr>
                <w:rFonts w:ascii="Arial" w:hAnsi="Arial" w:cs="Arial"/>
                <w:b/>
              </w:rPr>
              <w:t xml:space="preserve">Directorate </w:t>
            </w:r>
          </w:p>
        </w:tc>
        <w:tc>
          <w:tcPr>
            <w:tcW w:w="5988" w:type="dxa"/>
            <w:tcBorders>
              <w:top w:val="single" w:sz="4" w:space="0" w:color="auto"/>
              <w:left w:val="single" w:sz="4" w:space="0" w:color="auto"/>
              <w:bottom w:val="single" w:sz="4" w:space="0" w:color="auto"/>
              <w:right w:val="single" w:sz="4" w:space="0" w:color="auto"/>
            </w:tcBorders>
          </w:tcPr>
          <w:p w14:paraId="245E40CC" w14:textId="77777777" w:rsidR="00794DD3" w:rsidRPr="00A13FE9" w:rsidRDefault="00794DD3" w:rsidP="00AB6544">
            <w:pPr>
              <w:pStyle w:val="NoSpacing"/>
              <w:spacing w:line="252" w:lineRule="auto"/>
              <w:rPr>
                <w:rFonts w:ascii="Arial" w:eastAsiaTheme="minorHAnsi" w:hAnsi="Arial" w:cs="Arial"/>
                <w:b/>
                <w:bCs/>
              </w:rPr>
            </w:pPr>
            <w:r w:rsidRPr="00A13FE9">
              <w:rPr>
                <w:rFonts w:ascii="Arial" w:hAnsi="Arial" w:cs="Arial"/>
                <w:b/>
                <w:bCs/>
              </w:rPr>
              <w:t>Current Performance</w:t>
            </w:r>
          </w:p>
        </w:tc>
      </w:tr>
      <w:tr w:rsidR="00794DD3" w14:paraId="526F64D8" w14:textId="77777777" w:rsidTr="00170D99">
        <w:trPr>
          <w:trHeight w:val="761"/>
        </w:trPr>
        <w:tc>
          <w:tcPr>
            <w:tcW w:w="2487" w:type="dxa"/>
            <w:tcBorders>
              <w:top w:val="single" w:sz="4" w:space="0" w:color="auto"/>
              <w:left w:val="single" w:sz="4" w:space="0" w:color="auto"/>
              <w:bottom w:val="single" w:sz="4" w:space="0" w:color="auto"/>
              <w:right w:val="single" w:sz="4" w:space="0" w:color="auto"/>
            </w:tcBorders>
            <w:hideMark/>
          </w:tcPr>
          <w:p w14:paraId="4E6722F8" w14:textId="77777777" w:rsidR="00794DD3" w:rsidRPr="00A13FE9" w:rsidRDefault="00794DD3" w:rsidP="00AB6544">
            <w:pPr>
              <w:pStyle w:val="NoSpacing"/>
              <w:rPr>
                <w:rFonts w:ascii="Arial" w:hAnsi="Arial" w:cs="Arial"/>
              </w:rPr>
            </w:pPr>
            <w:r w:rsidRPr="00A13FE9">
              <w:rPr>
                <w:rFonts w:ascii="Arial" w:hAnsi="Arial" w:cs="Arial"/>
              </w:rPr>
              <w:t xml:space="preserve">Sustainable transport and travel </w:t>
            </w:r>
          </w:p>
        </w:tc>
        <w:tc>
          <w:tcPr>
            <w:tcW w:w="1618" w:type="dxa"/>
            <w:tcBorders>
              <w:top w:val="single" w:sz="4" w:space="0" w:color="auto"/>
              <w:left w:val="single" w:sz="4" w:space="0" w:color="auto"/>
              <w:bottom w:val="single" w:sz="4" w:space="0" w:color="auto"/>
              <w:right w:val="single" w:sz="4" w:space="0" w:color="auto"/>
            </w:tcBorders>
            <w:hideMark/>
          </w:tcPr>
          <w:p w14:paraId="65B55072" w14:textId="77777777" w:rsidR="00794DD3" w:rsidRPr="00A13FE9" w:rsidRDefault="00794DD3" w:rsidP="00AB6544">
            <w:pPr>
              <w:pStyle w:val="NoSpacing"/>
              <w:rPr>
                <w:rFonts w:ascii="Arial" w:hAnsi="Arial" w:cs="Arial"/>
              </w:rPr>
            </w:pPr>
            <w:r w:rsidRPr="00A13FE9">
              <w:rPr>
                <w:rFonts w:ascii="Arial" w:hAnsi="Arial" w:cs="Arial"/>
              </w:rPr>
              <w:t>Annual</w:t>
            </w:r>
          </w:p>
        </w:tc>
        <w:tc>
          <w:tcPr>
            <w:tcW w:w="3941" w:type="dxa"/>
            <w:tcBorders>
              <w:top w:val="single" w:sz="4" w:space="0" w:color="auto"/>
              <w:left w:val="single" w:sz="4" w:space="0" w:color="auto"/>
              <w:bottom w:val="single" w:sz="4" w:space="0" w:color="auto"/>
              <w:right w:val="single" w:sz="4" w:space="0" w:color="auto"/>
            </w:tcBorders>
          </w:tcPr>
          <w:p w14:paraId="77DC02C6" w14:textId="77777777" w:rsidR="00794DD3" w:rsidRPr="00A13FE9" w:rsidRDefault="00794DD3" w:rsidP="00AB6544">
            <w:pPr>
              <w:pStyle w:val="NoSpacing"/>
              <w:rPr>
                <w:rFonts w:ascii="Arial" w:hAnsi="Arial" w:cs="Arial"/>
              </w:rPr>
            </w:pPr>
            <w:r w:rsidRPr="00A13FE9">
              <w:rPr>
                <w:rFonts w:ascii="Arial" w:hAnsi="Arial" w:cs="Arial"/>
              </w:rPr>
              <w:t>Growth, Environment &amp; Transport</w:t>
            </w:r>
          </w:p>
        </w:tc>
        <w:tc>
          <w:tcPr>
            <w:tcW w:w="5988" w:type="dxa"/>
            <w:tcBorders>
              <w:top w:val="single" w:sz="4" w:space="0" w:color="auto"/>
              <w:left w:val="single" w:sz="4" w:space="0" w:color="auto"/>
              <w:bottom w:val="single" w:sz="4" w:space="0" w:color="auto"/>
              <w:right w:val="single" w:sz="4" w:space="0" w:color="auto"/>
            </w:tcBorders>
          </w:tcPr>
          <w:p w14:paraId="4E634C35" w14:textId="5CA02D4E" w:rsidR="00794DD3" w:rsidRPr="00A13FE9" w:rsidRDefault="00794DD3" w:rsidP="00AB6544">
            <w:pPr>
              <w:pStyle w:val="NoSpacing"/>
              <w:rPr>
                <w:rFonts w:ascii="Arial" w:hAnsi="Arial" w:cs="Arial"/>
              </w:rPr>
            </w:pPr>
            <w:r w:rsidRPr="00A13FE9">
              <w:rPr>
                <w:rFonts w:ascii="Arial" w:hAnsi="Arial" w:cs="Arial"/>
              </w:rPr>
              <w:t>Annual Report – schedule to be confirmed</w:t>
            </w:r>
            <w:r w:rsidR="00D555D4">
              <w:rPr>
                <w:rFonts w:ascii="Arial" w:hAnsi="Arial" w:cs="Arial"/>
              </w:rPr>
              <w:t xml:space="preserve"> -proposed February 2023.</w:t>
            </w:r>
          </w:p>
        </w:tc>
      </w:tr>
      <w:bookmarkEnd w:id="4"/>
    </w:tbl>
    <w:p w14:paraId="58C7F947" w14:textId="77777777" w:rsidR="00794DD3" w:rsidRDefault="00794DD3" w:rsidP="0D5360B6">
      <w:pPr>
        <w:rPr>
          <w:b/>
          <w:color w:val="000000" w:themeColor="text1"/>
        </w:rPr>
      </w:pPr>
    </w:p>
    <w:p w14:paraId="2DF8F51E" w14:textId="316D5032" w:rsidR="00654F8B" w:rsidRPr="00FB16C5" w:rsidRDefault="00716A65" w:rsidP="00654F8B">
      <w:pPr>
        <w:rPr>
          <w:color w:val="000000" w:themeColor="text1"/>
        </w:rPr>
      </w:pPr>
      <w:r w:rsidRPr="00FB16C5">
        <w:rPr>
          <w:b/>
          <w:bCs/>
          <w:color w:val="000000" w:themeColor="text1"/>
        </w:rPr>
        <w:t>Additional service developments</w:t>
      </w:r>
      <w:r w:rsidRPr="00FB16C5">
        <w:rPr>
          <w:color w:val="000000" w:themeColor="text1"/>
        </w:rPr>
        <w:t xml:space="preserve">. </w:t>
      </w:r>
      <w:r w:rsidR="00654F8B" w:rsidRPr="00FB16C5">
        <w:rPr>
          <w:color w:val="000000" w:themeColor="text1"/>
        </w:rPr>
        <w:t>In addition to the above established key performance indicators many other service developments, projects and achievements are ongoing supporting and delivering the Protecting our Environment corporate priority.  Performance metrics are being developed for these areas, along with associated targets where appropriate</w:t>
      </w:r>
      <w:r w:rsidR="0004094C" w:rsidRPr="00FB16C5">
        <w:rPr>
          <w:color w:val="000000" w:themeColor="text1"/>
        </w:rPr>
        <w:t>,</w:t>
      </w:r>
      <w:r w:rsidR="00654F8B" w:rsidRPr="00FB16C5">
        <w:rPr>
          <w:color w:val="000000" w:themeColor="text1"/>
        </w:rPr>
        <w:t xml:space="preserve"> for inclusion in future reports.</w:t>
      </w:r>
      <w:r w:rsidR="00DC1815">
        <w:rPr>
          <w:color w:val="000000" w:themeColor="text1"/>
        </w:rPr>
        <w:t xml:space="preserve">  </w:t>
      </w:r>
      <w:r w:rsidR="00654F8B" w:rsidRPr="00FB16C5">
        <w:rPr>
          <w:color w:val="000000" w:themeColor="text1"/>
        </w:rPr>
        <w:t>These development areas include:</w:t>
      </w:r>
    </w:p>
    <w:p w14:paraId="00F18B32" w14:textId="295B4FE4" w:rsidR="00240B5F" w:rsidRPr="003D7AA3" w:rsidRDefault="00240B5F" w:rsidP="003D7AA3">
      <w:pPr>
        <w:pStyle w:val="ListParagraph"/>
        <w:numPr>
          <w:ilvl w:val="0"/>
          <w:numId w:val="12"/>
        </w:numPr>
        <w:rPr>
          <w:rFonts w:ascii="Calibri" w:eastAsiaTheme="minorHAnsi" w:hAnsi="Calibri" w:cs="Calibri"/>
          <w:color w:val="auto"/>
          <w:sz w:val="22"/>
          <w:szCs w:val="22"/>
        </w:rPr>
      </w:pPr>
      <w:r>
        <w:t xml:space="preserve">The pandemic and associated changes in working styles </w:t>
      </w:r>
      <w:r w:rsidR="00BF3188">
        <w:t>have</w:t>
      </w:r>
      <w:r>
        <w:t xml:space="preserve"> significantly impacted waste arisings and make it difficult to benchmark performance. </w:t>
      </w:r>
      <w:r w:rsidR="00BF3188">
        <w:t>For</w:t>
      </w:r>
      <w:r>
        <w:t xml:space="preserve"> example, the amount of residual waste (general rubbish) collected at doorstep in 2020/21 increased by 31,000 tonnes on the amount collected pre-pandemic. However, doorstep collected recycling (20,400t) and collected garden waste (10,700t) also increased by an equivalent amount. Recycling centres saw a general drop in tonnages across all streams. The resultant is that despite the significant increase in waste arisings the overall recycling, composting and reuse rate for Lancashire in 2020/21 (44.6%) was the same as in 2018/19, prior to the pandemic. </w:t>
      </w:r>
    </w:p>
    <w:p w14:paraId="376810DB" w14:textId="37B5A9DD" w:rsidR="00240B5F" w:rsidRDefault="00240B5F" w:rsidP="00540FA7">
      <w:pPr>
        <w:pStyle w:val="ListParagraph"/>
        <w:numPr>
          <w:ilvl w:val="0"/>
          <w:numId w:val="12"/>
        </w:numPr>
      </w:pPr>
      <w:r>
        <w:t>The council's waste company, Lancashire Renewables Ltd, maintained operations throughout the pandemic. In 2020/21 the company processed 184,751 tonnes of residual waste, recovering a total of 178,316 tonnes through various processes achieving a total recovery rate of 96.5%.  A total of 38,000 tonnes of mixed recyclables were processed at the Materials Recovery Facility which separates out the co-mingled recycling into individual waste streams. The company also cleans up the separately collected paper and card before sourcing all of the constituent materials into recycling markets.</w:t>
      </w:r>
    </w:p>
    <w:p w14:paraId="4F425FAC" w14:textId="2909B49C" w:rsidR="00AF03D7" w:rsidRPr="00AF03D7" w:rsidRDefault="00AF03D7" w:rsidP="00AF03D7">
      <w:pPr>
        <w:pStyle w:val="ListParagraph"/>
        <w:numPr>
          <w:ilvl w:val="0"/>
          <w:numId w:val="12"/>
        </w:numPr>
        <w:rPr>
          <w:color w:val="000000" w:themeColor="text1"/>
        </w:rPr>
      </w:pPr>
      <w:r w:rsidRPr="00783767">
        <w:rPr>
          <w:rFonts w:cs="Arial"/>
          <w:color w:val="auto"/>
        </w:rPr>
        <w:lastRenderedPageBreak/>
        <w:t>An ambitious combined Bus Service Improvement Plan was submitted to the Department for Transport by Lancashire County Council and Blackburn with Darwen Borough Council, as required in support of the government's National Bus Strategy: Bus back better.  A funding allocation is awaited. To deliver this plan a legally enforced Enhanced Partnership is being drawn up between the county council and bus operators.</w:t>
      </w:r>
    </w:p>
    <w:p w14:paraId="3C50AF7B" w14:textId="33B66F47" w:rsidR="00240B5F" w:rsidRDefault="00240B5F" w:rsidP="00240B5F">
      <w:pPr>
        <w:pStyle w:val="ListParagraph"/>
        <w:numPr>
          <w:ilvl w:val="0"/>
          <w:numId w:val="12"/>
        </w:numPr>
      </w:pPr>
      <w:r>
        <w:t>One area that stagnated during the pandemic was the reuse of waste items, due mainly to the fact that items could not be handled from customers or redistributed. The two reuse shops at Preston and Garstang were closed throughout the pandemic. During this time plans were developed for a third reuse shop at Burnley recycling centre which subsequently opened in August 2021. Preston shop has also since re-opened whilst re-opening of the Garstang shop has been delayed due to staffing demand across the recycling centres but is due to re-open in April.</w:t>
      </w:r>
    </w:p>
    <w:p w14:paraId="63B7E03C" w14:textId="5F6A1521" w:rsidR="00090931" w:rsidRPr="00240B5F" w:rsidRDefault="00090931" w:rsidP="00240B5F">
      <w:pPr>
        <w:pStyle w:val="ListParagraph"/>
        <w:numPr>
          <w:ilvl w:val="0"/>
          <w:numId w:val="12"/>
        </w:numPr>
      </w:pPr>
      <w:r>
        <w:rPr>
          <w:rFonts w:cs="Arial"/>
        </w:rPr>
        <w:t>The Carbon Strategy Team is being created in the Asset Management Service. Recruitment is underway for a Carbon Strategy Asset Manager.  A Tree and Climate officer has been appointed to the new tree team.  The Environment and Climate team has been created in the Planning &amp; Environment Service to develop the council's climate and nature recovery strategies</w:t>
      </w:r>
    </w:p>
    <w:p w14:paraId="5C8D7A58" w14:textId="2F037CDF" w:rsidR="005B7501" w:rsidRPr="001427DE" w:rsidRDefault="005B7501" w:rsidP="001427DE">
      <w:pPr>
        <w:pStyle w:val="ListParagraph"/>
        <w:numPr>
          <w:ilvl w:val="0"/>
          <w:numId w:val="12"/>
        </w:numPr>
        <w:rPr>
          <w:rFonts w:eastAsiaTheme="minorHAnsi" w:cs="Arial"/>
          <w:color w:val="auto"/>
        </w:rPr>
      </w:pPr>
      <w:r w:rsidRPr="005B7501">
        <w:rPr>
          <w:rFonts w:cs="Arial"/>
        </w:rPr>
        <w:t xml:space="preserve">Low Carbon Street Lighting: </w:t>
      </w:r>
      <w:hyperlink r:id="rId10" w:history="1">
        <w:r w:rsidRPr="005B7501">
          <w:rPr>
            <w:rStyle w:val="Hyperlink"/>
            <w:rFonts w:cs="Arial"/>
          </w:rPr>
          <w:t>Lancashire County Council: Low Carbon Street Lighting | Local Government Association</w:t>
        </w:r>
      </w:hyperlink>
      <w:r w:rsidRPr="005B7501">
        <w:rPr>
          <w:rFonts w:cs="Arial"/>
        </w:rPr>
        <w:t xml:space="preserve"> - ambitious programme of LED street lighting conversion for all 152k streetlights - reducing carbon emissions by 84,400 tonnes (equivalent to driving over 3 billion miles in a diesel car) and saving £40 million in energy costs by March 2022.</w:t>
      </w:r>
    </w:p>
    <w:p w14:paraId="372CFA9D" w14:textId="2DA4CF2B" w:rsidR="00876498" w:rsidRPr="009A0AED" w:rsidRDefault="005B7501" w:rsidP="001427DE">
      <w:pPr>
        <w:pStyle w:val="ListParagraph"/>
        <w:numPr>
          <w:ilvl w:val="0"/>
          <w:numId w:val="12"/>
        </w:numPr>
        <w:rPr>
          <w:rFonts w:cs="Arial"/>
        </w:rPr>
      </w:pPr>
      <w:r w:rsidRPr="005B7501">
        <w:rPr>
          <w:rFonts w:cs="Arial"/>
        </w:rPr>
        <w:t xml:space="preserve">CO2e assessment and reduction in carriageway resurfacing: </w:t>
      </w:r>
      <w:hyperlink r:id="rId11" w:history="1">
        <w:r w:rsidRPr="005B7501">
          <w:rPr>
            <w:rStyle w:val="Hyperlink"/>
            <w:rFonts w:cs="Arial"/>
          </w:rPr>
          <w:t>Lancashire County Council: CO2e assessment and reduction in carriageway resurfacing | Local Government Association</w:t>
        </w:r>
      </w:hyperlink>
      <w:r w:rsidRPr="005B7501">
        <w:rPr>
          <w:rFonts w:cs="Arial"/>
        </w:rPr>
        <w:t xml:space="preserve"> - new process being used to recycle materials saving bitumen and reducing carbon emissions.</w:t>
      </w:r>
    </w:p>
    <w:p w14:paraId="1E3EFA40" w14:textId="77777777" w:rsidR="009A0AED" w:rsidRPr="009A0AED" w:rsidRDefault="009A0AED" w:rsidP="009A0AED">
      <w:pPr>
        <w:pStyle w:val="ListParagraph"/>
        <w:numPr>
          <w:ilvl w:val="0"/>
          <w:numId w:val="12"/>
        </w:numPr>
        <w:rPr>
          <w:rFonts w:cs="Arial"/>
          <w:shd w:val="clear" w:color="auto" w:fill="FFFFFF"/>
        </w:rPr>
      </w:pPr>
      <w:r w:rsidRPr="009A0AED">
        <w:rPr>
          <w:rFonts w:cs="Arial"/>
        </w:rPr>
        <w:t>Work has now completed at Garstang Library</w:t>
      </w:r>
      <w:r w:rsidRPr="009A0AED">
        <w:rPr>
          <w:rFonts w:cs="Arial"/>
          <w:shd w:val="clear" w:color="auto" w:fill="FFFFFF"/>
        </w:rPr>
        <w:t xml:space="preserve"> with solar panels, an air source heat pump and replacement of traditional lighting with LEDs saving 8 tonnes of CO2 per year.  Leyland and Coal Clough Libraries are currently closed while improvement works are underway.</w:t>
      </w:r>
    </w:p>
    <w:p w14:paraId="49D0F476" w14:textId="5C2DD280" w:rsidR="00F37465" w:rsidRPr="00F37465" w:rsidRDefault="00E01E6B" w:rsidP="00B46095">
      <w:pPr>
        <w:pStyle w:val="ListParagraph"/>
        <w:numPr>
          <w:ilvl w:val="0"/>
          <w:numId w:val="12"/>
        </w:numPr>
        <w:rPr>
          <w:rFonts w:eastAsiaTheme="minorHAnsi" w:cs="Arial"/>
          <w:sz w:val="22"/>
          <w:szCs w:val="22"/>
        </w:rPr>
      </w:pPr>
      <w:r w:rsidRPr="00E01E6B">
        <w:rPr>
          <w:rFonts w:cs="Arial"/>
        </w:rPr>
        <w:t>150 Electric Vehicle charging bays have been installed throughout the county.  The charging units are a mix of Ultra chargers which will allow most vehicles to take a full charge in less than an hour and Fast Chargers that will take around three hours to charge the vehicles. They have been installed either at the side of the adopted highway or in county council carparks. Information on their locations is available on the council's website.</w:t>
      </w:r>
    </w:p>
    <w:p w14:paraId="42F369CE" w14:textId="2970A0A4" w:rsidR="004C04F6" w:rsidRDefault="004C04F6" w:rsidP="00F37465">
      <w:pPr>
        <w:pStyle w:val="ListParagraph"/>
        <w:rPr>
          <w:rFonts w:eastAsiaTheme="minorHAnsi" w:cs="Arial"/>
          <w:sz w:val="22"/>
          <w:szCs w:val="22"/>
        </w:rPr>
      </w:pPr>
    </w:p>
    <w:p w14:paraId="60CF7A3C" w14:textId="129134A7" w:rsidR="009E6833" w:rsidRDefault="009E6833" w:rsidP="00F37465">
      <w:pPr>
        <w:pStyle w:val="ListParagraph"/>
        <w:rPr>
          <w:rFonts w:eastAsiaTheme="minorHAnsi" w:cs="Arial"/>
          <w:sz w:val="22"/>
          <w:szCs w:val="22"/>
        </w:rPr>
      </w:pPr>
    </w:p>
    <w:p w14:paraId="679DB0E0" w14:textId="279762C9" w:rsidR="009E6833" w:rsidRDefault="009E6833" w:rsidP="00F37465">
      <w:pPr>
        <w:pStyle w:val="ListParagraph"/>
        <w:rPr>
          <w:rFonts w:eastAsiaTheme="minorHAnsi" w:cs="Arial"/>
          <w:sz w:val="22"/>
          <w:szCs w:val="22"/>
        </w:rPr>
      </w:pPr>
    </w:p>
    <w:p w14:paraId="75B57196" w14:textId="4CD38D04" w:rsidR="009E6833" w:rsidRDefault="009E6833" w:rsidP="00F37465">
      <w:pPr>
        <w:pStyle w:val="ListParagraph"/>
        <w:rPr>
          <w:rFonts w:eastAsiaTheme="minorHAnsi" w:cs="Arial"/>
          <w:sz w:val="22"/>
          <w:szCs w:val="22"/>
        </w:rPr>
      </w:pPr>
    </w:p>
    <w:p w14:paraId="6AD5A04D" w14:textId="77777777" w:rsidR="009E6833" w:rsidRPr="00F37465" w:rsidRDefault="009E6833" w:rsidP="00F37465">
      <w:pPr>
        <w:pStyle w:val="ListParagraph"/>
        <w:rPr>
          <w:rFonts w:eastAsiaTheme="minorHAnsi" w:cs="Arial"/>
          <w:sz w:val="22"/>
          <w:szCs w:val="22"/>
        </w:rPr>
      </w:pPr>
    </w:p>
    <w:p w14:paraId="5098206F" w14:textId="703F2ECD" w:rsidR="001453A9" w:rsidRPr="00F37465" w:rsidRDefault="00794DD3" w:rsidP="00BA5AF3">
      <w:pPr>
        <w:rPr>
          <w:rFonts w:eastAsiaTheme="minorHAnsi" w:cs="Arial"/>
          <w:sz w:val="22"/>
          <w:szCs w:val="22"/>
        </w:rPr>
      </w:pPr>
      <w:r w:rsidRPr="00BA5AF3">
        <w:rPr>
          <w:b/>
          <w:bCs/>
          <w:sz w:val="40"/>
          <w:szCs w:val="32"/>
          <w:lang w:eastAsia="en-GB"/>
        </w:rPr>
        <w:lastRenderedPageBreak/>
        <w:t>Supporting Economic Growth</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559"/>
        <w:gridCol w:w="851"/>
        <w:gridCol w:w="1417"/>
        <w:gridCol w:w="1418"/>
        <w:gridCol w:w="1417"/>
        <w:gridCol w:w="1418"/>
        <w:gridCol w:w="1417"/>
        <w:gridCol w:w="1560"/>
      </w:tblGrid>
      <w:tr w:rsidR="00FF69FC" w14:paraId="492A96A9" w14:textId="77777777" w:rsidTr="00081ED6">
        <w:trPr>
          <w:trHeight w:val="963"/>
        </w:trPr>
        <w:tc>
          <w:tcPr>
            <w:tcW w:w="1701" w:type="dxa"/>
            <w:tcBorders>
              <w:top w:val="single" w:sz="4" w:space="0" w:color="auto"/>
              <w:left w:val="single" w:sz="4" w:space="0" w:color="auto"/>
              <w:bottom w:val="single" w:sz="4" w:space="0" w:color="auto"/>
              <w:right w:val="single" w:sz="4" w:space="0" w:color="auto"/>
            </w:tcBorders>
            <w:hideMark/>
          </w:tcPr>
          <w:p w14:paraId="5DAFFE60" w14:textId="7777777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Performance Indicator</w:t>
            </w:r>
          </w:p>
        </w:tc>
        <w:tc>
          <w:tcPr>
            <w:tcW w:w="1276" w:type="dxa"/>
            <w:tcBorders>
              <w:top w:val="single" w:sz="4" w:space="0" w:color="auto"/>
              <w:left w:val="single" w:sz="4" w:space="0" w:color="auto"/>
              <w:bottom w:val="single" w:sz="4" w:space="0" w:color="auto"/>
              <w:right w:val="single" w:sz="4" w:space="0" w:color="auto"/>
            </w:tcBorders>
            <w:hideMark/>
          </w:tcPr>
          <w:p w14:paraId="43BEA422" w14:textId="4B6CE100"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Frequency</w:t>
            </w:r>
          </w:p>
        </w:tc>
        <w:tc>
          <w:tcPr>
            <w:tcW w:w="1559" w:type="dxa"/>
            <w:tcBorders>
              <w:top w:val="single" w:sz="4" w:space="0" w:color="auto"/>
              <w:left w:val="single" w:sz="4" w:space="0" w:color="auto"/>
              <w:bottom w:val="single" w:sz="4" w:space="0" w:color="auto"/>
              <w:right w:val="single" w:sz="4" w:space="0" w:color="auto"/>
            </w:tcBorders>
          </w:tcPr>
          <w:p w14:paraId="03AB7E7A" w14:textId="1F5B082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Directorate</w:t>
            </w:r>
          </w:p>
        </w:tc>
        <w:tc>
          <w:tcPr>
            <w:tcW w:w="851" w:type="dxa"/>
            <w:tcBorders>
              <w:top w:val="single" w:sz="4" w:space="0" w:color="auto"/>
              <w:left w:val="single" w:sz="4" w:space="0" w:color="auto"/>
              <w:bottom w:val="single" w:sz="4" w:space="0" w:color="auto"/>
              <w:right w:val="single" w:sz="4" w:space="0" w:color="auto"/>
            </w:tcBorders>
          </w:tcPr>
          <w:p w14:paraId="651FC4CB" w14:textId="7777777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Good 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0BDDAB" w14:textId="7777777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2020/21 Quarter 3 (October - December)</w:t>
            </w:r>
          </w:p>
        </w:tc>
        <w:tc>
          <w:tcPr>
            <w:tcW w:w="1418" w:type="dxa"/>
            <w:tcBorders>
              <w:top w:val="single" w:sz="4" w:space="0" w:color="auto"/>
              <w:left w:val="single" w:sz="4" w:space="0" w:color="auto"/>
              <w:bottom w:val="single" w:sz="4" w:space="0" w:color="auto"/>
              <w:right w:val="single" w:sz="4" w:space="0" w:color="auto"/>
            </w:tcBorders>
          </w:tcPr>
          <w:p w14:paraId="698FA88A" w14:textId="02547093" w:rsidR="0061005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2020/21 Quarter 4</w:t>
            </w:r>
          </w:p>
          <w:p w14:paraId="6E43ECB1" w14:textId="398CCC8A" w:rsidR="007E01A2" w:rsidRPr="00610052" w:rsidRDefault="007E01A2" w:rsidP="00610052">
            <w:pPr>
              <w:pStyle w:val="NoSpacing"/>
              <w:jc w:val="center"/>
              <w:rPr>
                <w:rFonts w:ascii="Arial" w:hAnsi="Arial" w:cs="Arial"/>
                <w:sz w:val="20"/>
                <w:szCs w:val="20"/>
              </w:rPr>
            </w:pPr>
            <w:r w:rsidRPr="00610052">
              <w:rPr>
                <w:rFonts w:ascii="Arial" w:hAnsi="Arial" w:cs="Arial"/>
                <w:b/>
                <w:bCs/>
                <w:sz w:val="20"/>
                <w:szCs w:val="20"/>
              </w:rPr>
              <w:t>(Jan - March)</w:t>
            </w:r>
          </w:p>
        </w:tc>
        <w:tc>
          <w:tcPr>
            <w:tcW w:w="1417" w:type="dxa"/>
            <w:tcBorders>
              <w:top w:val="single" w:sz="4" w:space="0" w:color="auto"/>
              <w:left w:val="single" w:sz="4" w:space="0" w:color="auto"/>
              <w:bottom w:val="single" w:sz="4" w:space="0" w:color="auto"/>
              <w:right w:val="single" w:sz="4" w:space="0" w:color="auto"/>
            </w:tcBorders>
          </w:tcPr>
          <w:p w14:paraId="22B6A333" w14:textId="56A2645A" w:rsidR="007E01A2" w:rsidRPr="00081ED6" w:rsidRDefault="007E01A2" w:rsidP="00610052">
            <w:pPr>
              <w:pStyle w:val="NoSpacing"/>
              <w:jc w:val="center"/>
              <w:rPr>
                <w:rFonts w:ascii="Arial" w:hAnsi="Arial" w:cs="Arial"/>
                <w:b/>
                <w:sz w:val="20"/>
                <w:szCs w:val="20"/>
              </w:rPr>
            </w:pPr>
            <w:r w:rsidRPr="00610052">
              <w:rPr>
                <w:rFonts w:ascii="Arial" w:hAnsi="Arial" w:cs="Arial"/>
                <w:b/>
                <w:bCs/>
                <w:sz w:val="20"/>
                <w:szCs w:val="20"/>
              </w:rPr>
              <w:t>2021/22 Quarter 1 (April –June)</w:t>
            </w:r>
          </w:p>
        </w:tc>
        <w:tc>
          <w:tcPr>
            <w:tcW w:w="1418" w:type="dxa"/>
            <w:tcBorders>
              <w:top w:val="single" w:sz="4" w:space="0" w:color="auto"/>
              <w:left w:val="single" w:sz="4" w:space="0" w:color="auto"/>
              <w:bottom w:val="single" w:sz="4" w:space="0" w:color="auto"/>
              <w:right w:val="single" w:sz="4" w:space="0" w:color="auto"/>
            </w:tcBorders>
          </w:tcPr>
          <w:p w14:paraId="539F9B37" w14:textId="7C6F77EA"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2021/22</w:t>
            </w:r>
          </w:p>
          <w:p w14:paraId="2D1275F5" w14:textId="5B5834E9"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Quarter 2</w:t>
            </w:r>
          </w:p>
          <w:p w14:paraId="3843FDD6" w14:textId="7777777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(July – Sep)</w:t>
            </w:r>
          </w:p>
        </w:tc>
        <w:tc>
          <w:tcPr>
            <w:tcW w:w="1417" w:type="dxa"/>
            <w:tcBorders>
              <w:top w:val="single" w:sz="4" w:space="0" w:color="auto"/>
              <w:left w:val="single" w:sz="4" w:space="0" w:color="auto"/>
              <w:bottom w:val="single" w:sz="4" w:space="0" w:color="auto"/>
              <w:right w:val="single" w:sz="4" w:space="0" w:color="auto"/>
            </w:tcBorders>
          </w:tcPr>
          <w:p w14:paraId="153DDDA1" w14:textId="61F2A496"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2021/22</w:t>
            </w:r>
          </w:p>
          <w:p w14:paraId="663D5A4B" w14:textId="34A0F572"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Quarter 3</w:t>
            </w:r>
          </w:p>
          <w:p w14:paraId="5E70F8EB" w14:textId="55564165"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(Oct – Dec)</w:t>
            </w:r>
          </w:p>
          <w:p w14:paraId="3F268258" w14:textId="56CE332A" w:rsidR="007E01A2" w:rsidRPr="00610052" w:rsidRDefault="007E01A2" w:rsidP="00610052">
            <w:pPr>
              <w:pStyle w:val="NoSpacing"/>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36DDFAC" w14:textId="77777777" w:rsidR="007E01A2" w:rsidRPr="00610052" w:rsidRDefault="007E01A2" w:rsidP="00610052">
            <w:pPr>
              <w:pStyle w:val="NoSpacing"/>
              <w:jc w:val="center"/>
              <w:rPr>
                <w:rFonts w:ascii="Arial" w:hAnsi="Arial" w:cs="Arial"/>
                <w:b/>
                <w:bCs/>
                <w:sz w:val="20"/>
                <w:szCs w:val="20"/>
              </w:rPr>
            </w:pPr>
            <w:r w:rsidRPr="00610052">
              <w:rPr>
                <w:rFonts w:ascii="Arial" w:hAnsi="Arial" w:cs="Arial"/>
                <w:b/>
                <w:bCs/>
                <w:sz w:val="20"/>
                <w:szCs w:val="20"/>
              </w:rPr>
              <w:t>Project Targets</w:t>
            </w:r>
          </w:p>
        </w:tc>
      </w:tr>
      <w:tr w:rsidR="00FF69FC" w14:paraId="3D5B9DD0" w14:textId="77777777" w:rsidTr="006B7126">
        <w:trPr>
          <w:trHeight w:val="1740"/>
        </w:trPr>
        <w:tc>
          <w:tcPr>
            <w:tcW w:w="1701" w:type="dxa"/>
            <w:tcBorders>
              <w:top w:val="single" w:sz="4" w:space="0" w:color="auto"/>
              <w:left w:val="single" w:sz="4" w:space="0" w:color="auto"/>
              <w:bottom w:val="single" w:sz="8" w:space="0" w:color="auto"/>
              <w:right w:val="single" w:sz="4" w:space="0" w:color="auto"/>
            </w:tcBorders>
            <w:hideMark/>
          </w:tcPr>
          <w:p w14:paraId="01E2AEAF" w14:textId="77777777" w:rsidR="007E01A2" w:rsidRPr="00610052" w:rsidRDefault="007E01A2" w:rsidP="00AB6544">
            <w:pPr>
              <w:pStyle w:val="NoSpacing"/>
              <w:rPr>
                <w:rFonts w:ascii="Arial" w:hAnsi="Arial" w:cs="Arial"/>
              </w:rPr>
            </w:pPr>
            <w:r w:rsidRPr="00610052">
              <w:rPr>
                <w:rFonts w:ascii="Arial" w:hAnsi="Arial" w:cs="Arial"/>
              </w:rPr>
              <w:t>Number of Rosebud loans provided to new or existing businesses</w:t>
            </w:r>
          </w:p>
        </w:tc>
        <w:tc>
          <w:tcPr>
            <w:tcW w:w="1276" w:type="dxa"/>
            <w:tcBorders>
              <w:top w:val="single" w:sz="4" w:space="0" w:color="auto"/>
              <w:left w:val="single" w:sz="4" w:space="0" w:color="auto"/>
              <w:bottom w:val="single" w:sz="8" w:space="0" w:color="auto"/>
              <w:right w:val="single" w:sz="4" w:space="0" w:color="auto"/>
            </w:tcBorders>
            <w:hideMark/>
          </w:tcPr>
          <w:p w14:paraId="70542884" w14:textId="11EDC10B" w:rsidR="007E01A2" w:rsidRPr="00610052" w:rsidRDefault="007E01A2" w:rsidP="00AB6544">
            <w:pPr>
              <w:pStyle w:val="NoSpacing"/>
              <w:rPr>
                <w:rFonts w:ascii="Arial" w:hAnsi="Arial" w:cs="Arial"/>
              </w:rPr>
            </w:pPr>
            <w:r w:rsidRPr="00610052">
              <w:rPr>
                <w:rFonts w:ascii="Arial" w:hAnsi="Arial" w:cs="Arial"/>
              </w:rPr>
              <w:t>Quarterly</w:t>
            </w:r>
          </w:p>
        </w:tc>
        <w:tc>
          <w:tcPr>
            <w:tcW w:w="1559" w:type="dxa"/>
            <w:tcBorders>
              <w:top w:val="single" w:sz="4" w:space="0" w:color="auto"/>
              <w:left w:val="single" w:sz="4" w:space="0" w:color="auto"/>
              <w:bottom w:val="single" w:sz="8" w:space="0" w:color="auto"/>
              <w:right w:val="single" w:sz="4" w:space="0" w:color="auto"/>
            </w:tcBorders>
          </w:tcPr>
          <w:p w14:paraId="67A351F4" w14:textId="77777777" w:rsidR="007E01A2" w:rsidRPr="00610052" w:rsidRDefault="007E01A2" w:rsidP="00AB6544">
            <w:pPr>
              <w:pStyle w:val="NoSpacing"/>
              <w:rPr>
                <w:rFonts w:ascii="Arial" w:hAnsi="Arial" w:cs="Arial"/>
              </w:rPr>
            </w:pPr>
            <w:r w:rsidRPr="00610052">
              <w:rPr>
                <w:rFonts w:ascii="Arial" w:hAnsi="Arial" w:cs="Arial"/>
              </w:rPr>
              <w:t>Growth, Environment &amp; Transport</w:t>
            </w:r>
          </w:p>
        </w:tc>
        <w:tc>
          <w:tcPr>
            <w:tcW w:w="851" w:type="dxa"/>
            <w:tcBorders>
              <w:top w:val="single" w:sz="4" w:space="0" w:color="auto"/>
              <w:left w:val="single" w:sz="4" w:space="0" w:color="auto"/>
              <w:bottom w:val="single" w:sz="8" w:space="0" w:color="auto"/>
              <w:right w:val="single" w:sz="4" w:space="0" w:color="auto"/>
            </w:tcBorders>
          </w:tcPr>
          <w:p w14:paraId="7F8BF419" w14:textId="77777777" w:rsidR="007E01A2" w:rsidRPr="00610052" w:rsidRDefault="007E01A2" w:rsidP="00AB6544">
            <w:pPr>
              <w:pStyle w:val="NoSpacing"/>
              <w:rPr>
                <w:rFonts w:ascii="Arial" w:hAnsi="Arial" w:cs="Arial"/>
              </w:rPr>
            </w:pPr>
          </w:p>
          <w:p w14:paraId="372069F4" w14:textId="77777777" w:rsidR="007E01A2" w:rsidRPr="00610052" w:rsidRDefault="007E01A2" w:rsidP="00AB6544">
            <w:pPr>
              <w:pStyle w:val="NoSpacing"/>
              <w:rPr>
                <w:rFonts w:ascii="Arial" w:hAnsi="Arial" w:cs="Arial"/>
              </w:rPr>
            </w:pPr>
            <w:r w:rsidRPr="00610052">
              <w:rPr>
                <w:rFonts w:ascii="Arial" w:hAnsi="Arial" w:cs="Arial"/>
              </w:rPr>
              <w:t>On target</w:t>
            </w:r>
          </w:p>
        </w:tc>
        <w:tc>
          <w:tcPr>
            <w:tcW w:w="1417" w:type="dxa"/>
            <w:tcBorders>
              <w:top w:val="single" w:sz="4" w:space="0" w:color="auto"/>
              <w:left w:val="single" w:sz="4" w:space="0" w:color="auto"/>
              <w:bottom w:val="single" w:sz="8" w:space="0" w:color="auto"/>
              <w:right w:val="single" w:sz="4" w:space="0" w:color="auto"/>
            </w:tcBorders>
            <w:shd w:val="clear" w:color="auto" w:fill="FF0000"/>
          </w:tcPr>
          <w:p w14:paraId="207ABC9D" w14:textId="77777777" w:rsidR="007E01A2" w:rsidRPr="00610052" w:rsidRDefault="007E01A2" w:rsidP="00AB6544">
            <w:pPr>
              <w:pStyle w:val="NoSpacing"/>
              <w:jc w:val="center"/>
              <w:rPr>
                <w:rFonts w:ascii="Arial" w:hAnsi="Arial" w:cs="Arial"/>
                <w:color w:val="FFFFFF" w:themeColor="background1"/>
              </w:rPr>
            </w:pPr>
            <w:r w:rsidRPr="00610052">
              <w:rPr>
                <w:rFonts w:ascii="Arial" w:hAnsi="Arial" w:cs="Arial"/>
                <w:color w:val="FFFFFF" w:themeColor="background1"/>
              </w:rPr>
              <w:t xml:space="preserve">£300,000 </w:t>
            </w:r>
          </w:p>
          <w:p w14:paraId="1E131639" w14:textId="10F4F57F" w:rsidR="007E01A2" w:rsidRPr="00610052" w:rsidRDefault="007E01A2" w:rsidP="00AB6544">
            <w:pPr>
              <w:pStyle w:val="NoSpacing"/>
              <w:jc w:val="center"/>
              <w:rPr>
                <w:rFonts w:ascii="Arial" w:hAnsi="Arial" w:cs="Arial"/>
                <w:color w:val="FFFFFF" w:themeColor="background1"/>
              </w:rPr>
            </w:pPr>
            <w:r w:rsidRPr="00610052">
              <w:rPr>
                <w:rFonts w:ascii="Arial" w:hAnsi="Arial" w:cs="Arial"/>
                <w:color w:val="FFFFFF" w:themeColor="background1"/>
              </w:rPr>
              <w:t xml:space="preserve"> 1 investment</w:t>
            </w:r>
          </w:p>
        </w:tc>
        <w:tc>
          <w:tcPr>
            <w:tcW w:w="1418" w:type="dxa"/>
            <w:tcBorders>
              <w:top w:val="single" w:sz="4" w:space="0" w:color="auto"/>
              <w:left w:val="single" w:sz="4" w:space="0" w:color="auto"/>
              <w:bottom w:val="single" w:sz="8" w:space="0" w:color="auto"/>
              <w:right w:val="single" w:sz="4" w:space="0" w:color="auto"/>
            </w:tcBorders>
            <w:shd w:val="clear" w:color="auto" w:fill="FF0000"/>
          </w:tcPr>
          <w:p w14:paraId="5D485BE0" w14:textId="77777777" w:rsidR="007E01A2" w:rsidRPr="00610052" w:rsidRDefault="007E01A2" w:rsidP="00AB6544">
            <w:pPr>
              <w:pStyle w:val="NoSpacing"/>
              <w:jc w:val="center"/>
              <w:rPr>
                <w:rFonts w:ascii="Arial" w:hAnsi="Arial" w:cs="Arial"/>
                <w:color w:val="FFFFFF" w:themeColor="background1"/>
                <w:highlight w:val="red"/>
              </w:rPr>
            </w:pPr>
            <w:r w:rsidRPr="00610052">
              <w:rPr>
                <w:rFonts w:ascii="Arial" w:hAnsi="Arial" w:cs="Arial"/>
                <w:color w:val="FFFFFF" w:themeColor="background1"/>
                <w:highlight w:val="red"/>
              </w:rPr>
              <w:t>0</w:t>
            </w:r>
          </w:p>
        </w:tc>
        <w:tc>
          <w:tcPr>
            <w:tcW w:w="1417"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3BF9920B" w14:textId="503F90D0" w:rsidR="007E01A2" w:rsidRPr="00610052" w:rsidRDefault="007E01A2" w:rsidP="00AB6544">
            <w:pPr>
              <w:pStyle w:val="NoSpacing"/>
              <w:jc w:val="center"/>
              <w:rPr>
                <w:rFonts w:ascii="Arial" w:hAnsi="Arial" w:cs="Arial"/>
              </w:rPr>
            </w:pPr>
            <w:r w:rsidRPr="00610052">
              <w:rPr>
                <w:rFonts w:ascii="Arial" w:hAnsi="Arial" w:cs="Arial"/>
              </w:rPr>
              <w:t xml:space="preserve">£569,000 </w:t>
            </w:r>
          </w:p>
          <w:p w14:paraId="70647886" w14:textId="77777777" w:rsidR="007E01A2" w:rsidRPr="00610052" w:rsidRDefault="007E01A2" w:rsidP="00AB6544">
            <w:pPr>
              <w:pStyle w:val="NoSpacing"/>
              <w:jc w:val="center"/>
              <w:rPr>
                <w:rFonts w:ascii="Arial" w:hAnsi="Arial" w:cs="Arial"/>
              </w:rPr>
            </w:pPr>
            <w:r w:rsidRPr="00610052">
              <w:rPr>
                <w:rFonts w:ascii="Arial" w:hAnsi="Arial" w:cs="Arial"/>
              </w:rPr>
              <w:t>3 investments</w:t>
            </w:r>
          </w:p>
        </w:tc>
        <w:tc>
          <w:tcPr>
            <w:tcW w:w="1418" w:type="dxa"/>
            <w:tcBorders>
              <w:top w:val="single" w:sz="4" w:space="0" w:color="auto"/>
              <w:left w:val="single" w:sz="4" w:space="0" w:color="auto"/>
              <w:bottom w:val="single" w:sz="8" w:space="0" w:color="auto"/>
              <w:right w:val="single" w:sz="4" w:space="0" w:color="auto"/>
            </w:tcBorders>
            <w:shd w:val="clear" w:color="auto" w:fill="FF0000"/>
          </w:tcPr>
          <w:p w14:paraId="07D94CCF" w14:textId="77777777" w:rsidR="007E01A2" w:rsidRPr="00610052" w:rsidRDefault="007E01A2" w:rsidP="001453A9">
            <w:pPr>
              <w:pStyle w:val="NoSpacing"/>
              <w:jc w:val="center"/>
              <w:rPr>
                <w:rFonts w:ascii="Arial" w:hAnsi="Arial" w:cs="Arial"/>
                <w:color w:val="FFFFFF" w:themeColor="background1"/>
              </w:rPr>
            </w:pPr>
            <w:r w:rsidRPr="00610052">
              <w:rPr>
                <w:rFonts w:ascii="Arial" w:hAnsi="Arial" w:cs="Arial"/>
                <w:color w:val="FFFFFF" w:themeColor="background1"/>
              </w:rPr>
              <w:t>£75,000</w:t>
            </w:r>
          </w:p>
          <w:p w14:paraId="5FFF6F39" w14:textId="47399A17" w:rsidR="007E01A2" w:rsidRPr="00610052" w:rsidRDefault="007E01A2" w:rsidP="001453A9">
            <w:pPr>
              <w:pStyle w:val="NoSpacing"/>
              <w:jc w:val="center"/>
              <w:rPr>
                <w:rFonts w:ascii="Arial" w:hAnsi="Arial" w:cs="Arial"/>
                <w:color w:val="FFFFFF" w:themeColor="background1"/>
              </w:rPr>
            </w:pPr>
            <w:r w:rsidRPr="00610052">
              <w:rPr>
                <w:rFonts w:ascii="Arial" w:hAnsi="Arial" w:cs="Arial"/>
                <w:color w:val="FFFFFF" w:themeColor="background1"/>
              </w:rPr>
              <w:t xml:space="preserve">1 investment </w:t>
            </w:r>
          </w:p>
          <w:p w14:paraId="5970A649" w14:textId="783EF10A" w:rsidR="007E01A2" w:rsidRPr="00610052" w:rsidRDefault="007E01A2" w:rsidP="4E6013FB">
            <w:pPr>
              <w:pStyle w:val="NoSpacing"/>
              <w:jc w:val="center"/>
            </w:pPr>
          </w:p>
        </w:tc>
        <w:tc>
          <w:tcPr>
            <w:tcW w:w="1417" w:type="dxa"/>
            <w:tcBorders>
              <w:top w:val="single" w:sz="4" w:space="0" w:color="auto"/>
              <w:left w:val="single" w:sz="4" w:space="0" w:color="auto"/>
              <w:bottom w:val="single" w:sz="8" w:space="0" w:color="auto"/>
              <w:right w:val="single" w:sz="4" w:space="0" w:color="auto"/>
            </w:tcBorders>
            <w:shd w:val="clear" w:color="auto" w:fill="FF0000"/>
          </w:tcPr>
          <w:p w14:paraId="6F0C337F" w14:textId="33ECBDD3" w:rsidR="007E01A2" w:rsidRPr="00B07A02" w:rsidRDefault="007E01A2" w:rsidP="1E055441">
            <w:pPr>
              <w:pStyle w:val="NoSpacing"/>
              <w:jc w:val="center"/>
              <w:rPr>
                <w:rFonts w:ascii="Arial" w:hAnsi="Arial" w:cs="Arial"/>
                <w:color w:val="FFFFFF" w:themeColor="background1"/>
              </w:rPr>
            </w:pPr>
            <w:r w:rsidRPr="00B07A02">
              <w:rPr>
                <w:rFonts w:ascii="Arial" w:hAnsi="Arial" w:cs="Arial"/>
                <w:color w:val="FFFFFF" w:themeColor="background1"/>
              </w:rPr>
              <w:t>0 investment</w:t>
            </w:r>
          </w:p>
        </w:tc>
        <w:tc>
          <w:tcPr>
            <w:tcW w:w="1560" w:type="dxa"/>
            <w:tcBorders>
              <w:top w:val="single" w:sz="4" w:space="0" w:color="auto"/>
              <w:left w:val="single" w:sz="4" w:space="0" w:color="auto"/>
              <w:bottom w:val="single" w:sz="8" w:space="0" w:color="auto"/>
              <w:right w:val="single" w:sz="4" w:space="0" w:color="auto"/>
            </w:tcBorders>
          </w:tcPr>
          <w:p w14:paraId="51A8373A" w14:textId="77777777" w:rsidR="007E01A2" w:rsidRPr="00610052" w:rsidRDefault="007E01A2" w:rsidP="00AB6544">
            <w:pPr>
              <w:pStyle w:val="NoSpacing"/>
              <w:jc w:val="center"/>
              <w:rPr>
                <w:rFonts w:ascii="Arial" w:hAnsi="Arial" w:cs="Arial"/>
              </w:rPr>
            </w:pPr>
            <w:r w:rsidRPr="00610052">
              <w:rPr>
                <w:rFonts w:ascii="Arial" w:hAnsi="Arial" w:cs="Arial"/>
              </w:rPr>
              <w:t>5-year target is £11.25m covering 150 investments (July 2019 - June 2024)</w:t>
            </w:r>
          </w:p>
        </w:tc>
      </w:tr>
      <w:tr w:rsidR="00FF69FC" w14:paraId="2C98A36F" w14:textId="77777777" w:rsidTr="006B7126">
        <w:trPr>
          <w:trHeight w:val="926"/>
        </w:trPr>
        <w:tc>
          <w:tcPr>
            <w:tcW w:w="1701" w:type="dxa"/>
            <w:tcBorders>
              <w:top w:val="single" w:sz="8" w:space="0" w:color="auto"/>
              <w:left w:val="single" w:sz="4" w:space="0" w:color="auto"/>
              <w:bottom w:val="single" w:sz="4" w:space="0" w:color="auto"/>
              <w:right w:val="single" w:sz="4" w:space="0" w:color="auto"/>
            </w:tcBorders>
            <w:hideMark/>
          </w:tcPr>
          <w:p w14:paraId="7EC2040F" w14:textId="77777777" w:rsidR="007E01A2" w:rsidRPr="00610052" w:rsidRDefault="007E01A2" w:rsidP="00AB6544">
            <w:pPr>
              <w:pStyle w:val="NoSpacing"/>
              <w:rPr>
                <w:rFonts w:ascii="Arial" w:hAnsi="Arial" w:cs="Arial"/>
              </w:rPr>
            </w:pPr>
            <w:r w:rsidRPr="00610052">
              <w:rPr>
                <w:rFonts w:ascii="Arial" w:hAnsi="Arial" w:cs="Arial"/>
              </w:rPr>
              <w:t>Number of jobs created by Boost</w:t>
            </w:r>
          </w:p>
        </w:tc>
        <w:tc>
          <w:tcPr>
            <w:tcW w:w="1276" w:type="dxa"/>
            <w:tcBorders>
              <w:top w:val="single" w:sz="8" w:space="0" w:color="auto"/>
              <w:left w:val="single" w:sz="4" w:space="0" w:color="auto"/>
              <w:bottom w:val="single" w:sz="4" w:space="0" w:color="auto"/>
              <w:right w:val="single" w:sz="4" w:space="0" w:color="auto"/>
            </w:tcBorders>
            <w:hideMark/>
          </w:tcPr>
          <w:p w14:paraId="43BD6D1E" w14:textId="11EDC10B" w:rsidR="007E01A2" w:rsidRPr="00610052" w:rsidRDefault="007E01A2" w:rsidP="0D5360B6">
            <w:pPr>
              <w:pStyle w:val="NoSpacing"/>
              <w:rPr>
                <w:rFonts w:ascii="Arial" w:hAnsi="Arial" w:cs="Arial"/>
              </w:rPr>
            </w:pPr>
            <w:r w:rsidRPr="00610052">
              <w:rPr>
                <w:rFonts w:ascii="Arial" w:hAnsi="Arial" w:cs="Arial"/>
              </w:rPr>
              <w:t>Quarterly</w:t>
            </w:r>
          </w:p>
          <w:p w14:paraId="7422A8EF" w14:textId="32C0DC7B" w:rsidR="007E01A2" w:rsidRPr="00610052" w:rsidRDefault="007E01A2" w:rsidP="0D5360B6">
            <w:pPr>
              <w:pStyle w:val="NoSpacing"/>
            </w:pPr>
          </w:p>
        </w:tc>
        <w:tc>
          <w:tcPr>
            <w:tcW w:w="1559" w:type="dxa"/>
            <w:tcBorders>
              <w:top w:val="single" w:sz="8" w:space="0" w:color="auto"/>
              <w:left w:val="single" w:sz="4" w:space="0" w:color="auto"/>
              <w:bottom w:val="single" w:sz="4" w:space="0" w:color="auto"/>
              <w:right w:val="single" w:sz="4" w:space="0" w:color="auto"/>
            </w:tcBorders>
          </w:tcPr>
          <w:p w14:paraId="70B7D1D5" w14:textId="77777777" w:rsidR="007E01A2" w:rsidRPr="00610052" w:rsidRDefault="007E01A2" w:rsidP="00AB6544">
            <w:pPr>
              <w:pStyle w:val="NoSpacing"/>
              <w:rPr>
                <w:rFonts w:ascii="Arial" w:hAnsi="Arial" w:cs="Arial"/>
              </w:rPr>
            </w:pPr>
            <w:r w:rsidRPr="00610052">
              <w:rPr>
                <w:rFonts w:ascii="Arial" w:hAnsi="Arial" w:cs="Arial"/>
              </w:rPr>
              <w:t>Growth, Environment &amp; Transport</w:t>
            </w:r>
          </w:p>
        </w:tc>
        <w:tc>
          <w:tcPr>
            <w:tcW w:w="851" w:type="dxa"/>
            <w:tcBorders>
              <w:top w:val="single" w:sz="8" w:space="0" w:color="auto"/>
              <w:left w:val="single" w:sz="4" w:space="0" w:color="auto"/>
              <w:bottom w:val="single" w:sz="4" w:space="0" w:color="auto"/>
              <w:right w:val="single" w:sz="4" w:space="0" w:color="auto"/>
            </w:tcBorders>
          </w:tcPr>
          <w:p w14:paraId="56F9BFB4" w14:textId="77777777" w:rsidR="007E01A2" w:rsidRPr="00610052" w:rsidRDefault="007E01A2" w:rsidP="00AB6544">
            <w:pPr>
              <w:pStyle w:val="NoSpacing"/>
              <w:rPr>
                <w:rFonts w:ascii="Arial" w:hAnsi="Arial" w:cs="Arial"/>
              </w:rPr>
            </w:pPr>
          </w:p>
          <w:p w14:paraId="463C48D0" w14:textId="77777777" w:rsidR="007E01A2" w:rsidRPr="00610052" w:rsidRDefault="007E01A2" w:rsidP="00AB6544">
            <w:pPr>
              <w:pStyle w:val="NoSpacing"/>
              <w:rPr>
                <w:rFonts w:ascii="Arial" w:hAnsi="Arial" w:cs="Arial"/>
              </w:rPr>
            </w:pPr>
            <w:r w:rsidRPr="00610052">
              <w:rPr>
                <w:rFonts w:ascii="Arial" w:hAnsi="Arial" w:cs="Arial"/>
              </w:rPr>
              <w:t>On target</w:t>
            </w:r>
          </w:p>
        </w:tc>
        <w:tc>
          <w:tcPr>
            <w:tcW w:w="1417" w:type="dxa"/>
            <w:tcBorders>
              <w:top w:val="single" w:sz="8" w:space="0" w:color="auto"/>
              <w:left w:val="single" w:sz="4" w:space="0" w:color="auto"/>
              <w:bottom w:val="single" w:sz="4" w:space="0" w:color="auto"/>
              <w:right w:val="single" w:sz="4" w:space="0" w:color="auto"/>
            </w:tcBorders>
            <w:shd w:val="clear" w:color="auto" w:fill="FF0000"/>
          </w:tcPr>
          <w:p w14:paraId="68471509" w14:textId="77777777" w:rsidR="007E01A2" w:rsidRPr="00610052" w:rsidRDefault="007E01A2" w:rsidP="00AB6544">
            <w:pPr>
              <w:pStyle w:val="NoSpacing"/>
              <w:jc w:val="center"/>
              <w:rPr>
                <w:rFonts w:ascii="Arial" w:hAnsi="Arial" w:cs="Arial"/>
                <w:color w:val="FFFFFF" w:themeColor="background1"/>
              </w:rPr>
            </w:pPr>
            <w:r w:rsidRPr="00610052">
              <w:rPr>
                <w:rFonts w:ascii="Arial" w:hAnsi="Arial" w:cs="Arial"/>
                <w:color w:val="FFFFFF" w:themeColor="background1"/>
              </w:rPr>
              <w:t>80.93 Target 100</w:t>
            </w:r>
          </w:p>
        </w:tc>
        <w:tc>
          <w:tcPr>
            <w:tcW w:w="1418" w:type="dxa"/>
            <w:tcBorders>
              <w:top w:val="single" w:sz="8" w:space="0" w:color="auto"/>
              <w:left w:val="single" w:sz="4" w:space="0" w:color="auto"/>
              <w:bottom w:val="single" w:sz="4" w:space="0" w:color="auto"/>
              <w:right w:val="single" w:sz="4" w:space="0" w:color="auto"/>
            </w:tcBorders>
            <w:shd w:val="clear" w:color="auto" w:fill="FF0000"/>
          </w:tcPr>
          <w:p w14:paraId="09FEF561" w14:textId="77777777" w:rsidR="007E01A2" w:rsidRPr="00610052" w:rsidRDefault="007E01A2" w:rsidP="00AB6544">
            <w:pPr>
              <w:pStyle w:val="NoSpacing"/>
              <w:jc w:val="center"/>
              <w:rPr>
                <w:rFonts w:ascii="Arial" w:hAnsi="Arial" w:cs="Arial"/>
                <w:color w:val="FFFFFF" w:themeColor="background1"/>
              </w:rPr>
            </w:pPr>
            <w:r w:rsidRPr="00610052">
              <w:rPr>
                <w:rFonts w:ascii="Arial" w:hAnsi="Arial" w:cs="Arial"/>
                <w:color w:val="FFFFFF" w:themeColor="background1"/>
              </w:rPr>
              <w:t>42.05 Target 100</w:t>
            </w:r>
          </w:p>
        </w:tc>
        <w:tc>
          <w:tcPr>
            <w:tcW w:w="1417" w:type="dxa"/>
            <w:tcBorders>
              <w:top w:val="single" w:sz="8" w:space="0" w:color="auto"/>
              <w:left w:val="single" w:sz="4" w:space="0" w:color="auto"/>
              <w:bottom w:val="single" w:sz="4" w:space="0" w:color="auto"/>
              <w:right w:val="single" w:sz="4" w:space="0" w:color="auto"/>
            </w:tcBorders>
            <w:shd w:val="clear" w:color="auto" w:fill="C5E0B3" w:themeFill="accent6" w:themeFillTint="66"/>
          </w:tcPr>
          <w:p w14:paraId="15184E6D" w14:textId="77777777" w:rsidR="007E01A2" w:rsidRPr="00610052" w:rsidRDefault="007E01A2" w:rsidP="00AB6544">
            <w:pPr>
              <w:pStyle w:val="NoSpacing"/>
              <w:jc w:val="center"/>
              <w:rPr>
                <w:rFonts w:ascii="Arial" w:hAnsi="Arial" w:cs="Arial"/>
              </w:rPr>
            </w:pPr>
            <w:r w:rsidRPr="00610052">
              <w:rPr>
                <w:rFonts w:ascii="Arial" w:hAnsi="Arial" w:cs="Arial"/>
              </w:rPr>
              <w:t>128.33</w:t>
            </w:r>
          </w:p>
          <w:p w14:paraId="60856A50" w14:textId="77777777" w:rsidR="007E01A2" w:rsidRPr="00610052" w:rsidRDefault="007E01A2" w:rsidP="00AB6544">
            <w:pPr>
              <w:pStyle w:val="NoSpacing"/>
              <w:jc w:val="center"/>
              <w:rPr>
                <w:rFonts w:ascii="Arial" w:hAnsi="Arial" w:cs="Arial"/>
              </w:rPr>
            </w:pPr>
            <w:r w:rsidRPr="00610052">
              <w:rPr>
                <w:rFonts w:ascii="Arial" w:hAnsi="Arial" w:cs="Arial"/>
              </w:rPr>
              <w:t>Target 100</w:t>
            </w:r>
          </w:p>
          <w:p w14:paraId="794C5A2C" w14:textId="77777777" w:rsidR="007E01A2" w:rsidRPr="00610052" w:rsidRDefault="007E01A2" w:rsidP="00AB6544">
            <w:pPr>
              <w:pStyle w:val="NoSpacing"/>
              <w:jc w:val="center"/>
              <w:rPr>
                <w:rFonts w:ascii="Arial" w:hAnsi="Arial" w:cs="Arial"/>
              </w:rPr>
            </w:pPr>
          </w:p>
        </w:tc>
        <w:tc>
          <w:tcPr>
            <w:tcW w:w="1418" w:type="dxa"/>
            <w:tcBorders>
              <w:top w:val="single" w:sz="8" w:space="0" w:color="auto"/>
              <w:left w:val="single" w:sz="4" w:space="0" w:color="auto"/>
              <w:bottom w:val="single" w:sz="4" w:space="0" w:color="auto"/>
              <w:right w:val="single" w:sz="4" w:space="0" w:color="auto"/>
            </w:tcBorders>
            <w:shd w:val="clear" w:color="auto" w:fill="FF0000"/>
          </w:tcPr>
          <w:p w14:paraId="0F8D783C" w14:textId="4030B18C" w:rsidR="007E01A2" w:rsidRPr="00610052" w:rsidRDefault="007E01A2" w:rsidP="4E6013FB">
            <w:pPr>
              <w:pStyle w:val="NoSpacing"/>
              <w:jc w:val="center"/>
              <w:rPr>
                <w:rFonts w:ascii="Arial" w:hAnsi="Arial" w:cs="Arial"/>
                <w:color w:val="FFFFFF" w:themeColor="background1"/>
              </w:rPr>
            </w:pPr>
            <w:r w:rsidRPr="00610052">
              <w:rPr>
                <w:rFonts w:ascii="Arial" w:hAnsi="Arial" w:cs="Arial"/>
                <w:color w:val="FFFFFF" w:themeColor="background1"/>
              </w:rPr>
              <w:t>50.83</w:t>
            </w:r>
          </w:p>
          <w:p w14:paraId="0BB31A76" w14:textId="0A5EE766" w:rsidR="007E01A2" w:rsidRPr="00610052" w:rsidRDefault="007E01A2" w:rsidP="4E6013FB">
            <w:pPr>
              <w:pStyle w:val="NoSpacing"/>
              <w:jc w:val="center"/>
              <w:rPr>
                <w:rFonts w:ascii="Arial" w:hAnsi="Arial" w:cs="Arial"/>
              </w:rPr>
            </w:pPr>
            <w:r w:rsidRPr="00610052">
              <w:rPr>
                <w:rFonts w:ascii="Arial" w:hAnsi="Arial" w:cs="Arial"/>
                <w:color w:val="FFFFFF" w:themeColor="background1"/>
              </w:rPr>
              <w:t>Target 100</w:t>
            </w:r>
          </w:p>
          <w:p w14:paraId="012C4565" w14:textId="1682ED68" w:rsidR="007E01A2" w:rsidRPr="00610052" w:rsidRDefault="007E01A2" w:rsidP="4E6013FB">
            <w:pPr>
              <w:pStyle w:val="NoSpacing"/>
              <w:jc w:val="center"/>
            </w:pPr>
          </w:p>
        </w:tc>
        <w:tc>
          <w:tcPr>
            <w:tcW w:w="1417" w:type="dxa"/>
            <w:tcBorders>
              <w:top w:val="single" w:sz="8" w:space="0" w:color="auto"/>
              <w:left w:val="single" w:sz="4" w:space="0" w:color="auto"/>
              <w:bottom w:val="single" w:sz="4" w:space="0" w:color="auto"/>
              <w:right w:val="single" w:sz="4" w:space="0" w:color="auto"/>
            </w:tcBorders>
            <w:shd w:val="clear" w:color="auto" w:fill="C5E0B3" w:themeFill="accent6" w:themeFillTint="66"/>
          </w:tcPr>
          <w:p w14:paraId="57FB726C" w14:textId="71E1A984" w:rsidR="007E01A2" w:rsidRPr="00610052" w:rsidRDefault="007E01A2" w:rsidP="1E055441">
            <w:pPr>
              <w:pStyle w:val="NoSpacing"/>
              <w:jc w:val="center"/>
              <w:rPr>
                <w:rFonts w:ascii="Arial" w:hAnsi="Arial" w:cs="Arial"/>
              </w:rPr>
            </w:pPr>
            <w:r w:rsidRPr="00610052">
              <w:rPr>
                <w:rFonts w:ascii="Arial" w:hAnsi="Arial" w:cs="Arial"/>
              </w:rPr>
              <w:t>203.01</w:t>
            </w:r>
          </w:p>
          <w:p w14:paraId="59FA3C4A" w14:textId="081CE28D" w:rsidR="007E01A2" w:rsidRPr="00610052" w:rsidRDefault="007E01A2" w:rsidP="1E055441">
            <w:pPr>
              <w:pStyle w:val="NoSpacing"/>
              <w:jc w:val="center"/>
              <w:rPr>
                <w:rFonts w:ascii="Arial" w:hAnsi="Arial" w:cs="Arial"/>
              </w:rPr>
            </w:pPr>
            <w:r w:rsidRPr="00610052">
              <w:rPr>
                <w:rFonts w:ascii="Arial" w:hAnsi="Arial" w:cs="Arial"/>
              </w:rPr>
              <w:t xml:space="preserve"> Target 50</w:t>
            </w:r>
          </w:p>
        </w:tc>
        <w:tc>
          <w:tcPr>
            <w:tcW w:w="1560" w:type="dxa"/>
            <w:tcBorders>
              <w:top w:val="single" w:sz="8" w:space="0" w:color="auto"/>
              <w:left w:val="single" w:sz="4" w:space="0" w:color="auto"/>
              <w:bottom w:val="single" w:sz="4" w:space="0" w:color="auto"/>
              <w:right w:val="single" w:sz="4" w:space="0" w:color="auto"/>
            </w:tcBorders>
          </w:tcPr>
          <w:p w14:paraId="1A6EED77" w14:textId="77777777" w:rsidR="007E01A2" w:rsidRPr="00610052" w:rsidRDefault="007E01A2" w:rsidP="00AB6544">
            <w:pPr>
              <w:pStyle w:val="NoSpacing"/>
              <w:jc w:val="center"/>
              <w:rPr>
                <w:rFonts w:ascii="Arial" w:hAnsi="Arial" w:cs="Arial"/>
              </w:rPr>
            </w:pPr>
            <w:r w:rsidRPr="00610052">
              <w:rPr>
                <w:rFonts w:ascii="Arial" w:hAnsi="Arial" w:cs="Arial"/>
              </w:rPr>
              <w:t>1,000 jobs target (Jan 2019 - Dec 2022)</w:t>
            </w:r>
          </w:p>
        </w:tc>
      </w:tr>
      <w:tr w:rsidR="00FF69FC" w14:paraId="64986E45" w14:textId="77777777" w:rsidTr="006B7126">
        <w:trPr>
          <w:trHeight w:val="1178"/>
        </w:trPr>
        <w:tc>
          <w:tcPr>
            <w:tcW w:w="1701" w:type="dxa"/>
            <w:tcBorders>
              <w:top w:val="single" w:sz="4" w:space="0" w:color="auto"/>
              <w:left w:val="single" w:sz="4" w:space="0" w:color="auto"/>
              <w:bottom w:val="single" w:sz="4" w:space="0" w:color="auto"/>
              <w:right w:val="single" w:sz="4" w:space="0" w:color="auto"/>
            </w:tcBorders>
            <w:hideMark/>
          </w:tcPr>
          <w:p w14:paraId="76C296F3" w14:textId="77777777" w:rsidR="007E01A2" w:rsidRPr="00610052" w:rsidRDefault="007E01A2" w:rsidP="00AB6544">
            <w:pPr>
              <w:pStyle w:val="NoSpacing"/>
              <w:rPr>
                <w:rFonts w:ascii="Arial" w:hAnsi="Arial" w:cs="Arial"/>
              </w:rPr>
            </w:pPr>
            <w:r w:rsidRPr="00610052">
              <w:rPr>
                <w:rFonts w:ascii="Arial" w:hAnsi="Arial" w:cs="Arial"/>
              </w:rPr>
              <w:t>New businesses established by Boost</w:t>
            </w:r>
          </w:p>
        </w:tc>
        <w:tc>
          <w:tcPr>
            <w:tcW w:w="1276" w:type="dxa"/>
            <w:tcBorders>
              <w:top w:val="single" w:sz="4" w:space="0" w:color="auto"/>
              <w:left w:val="single" w:sz="4" w:space="0" w:color="auto"/>
              <w:bottom w:val="single" w:sz="4" w:space="0" w:color="auto"/>
              <w:right w:val="single" w:sz="4" w:space="0" w:color="auto"/>
            </w:tcBorders>
            <w:hideMark/>
          </w:tcPr>
          <w:p w14:paraId="496638E3" w14:textId="11EDC10B" w:rsidR="007E01A2" w:rsidRPr="00610052" w:rsidRDefault="007E01A2" w:rsidP="0D5360B6">
            <w:pPr>
              <w:pStyle w:val="NoSpacing"/>
              <w:rPr>
                <w:rFonts w:ascii="Arial" w:hAnsi="Arial" w:cs="Arial"/>
              </w:rPr>
            </w:pPr>
            <w:r w:rsidRPr="00610052">
              <w:rPr>
                <w:rFonts w:ascii="Arial" w:hAnsi="Arial" w:cs="Arial"/>
              </w:rPr>
              <w:t>Quarterly</w:t>
            </w:r>
          </w:p>
          <w:p w14:paraId="2225E49F" w14:textId="68A6DB91" w:rsidR="007E01A2" w:rsidRPr="00610052" w:rsidRDefault="007E01A2" w:rsidP="0D5360B6">
            <w:pPr>
              <w:pStyle w:val="NoSpacing"/>
            </w:pPr>
          </w:p>
        </w:tc>
        <w:tc>
          <w:tcPr>
            <w:tcW w:w="1559" w:type="dxa"/>
            <w:tcBorders>
              <w:top w:val="single" w:sz="4" w:space="0" w:color="auto"/>
              <w:left w:val="single" w:sz="4" w:space="0" w:color="auto"/>
              <w:bottom w:val="single" w:sz="4" w:space="0" w:color="auto"/>
              <w:right w:val="single" w:sz="4" w:space="0" w:color="auto"/>
            </w:tcBorders>
          </w:tcPr>
          <w:p w14:paraId="22C07F0E" w14:textId="77777777" w:rsidR="007E01A2" w:rsidRPr="00610052" w:rsidRDefault="007E01A2" w:rsidP="00AB6544">
            <w:pPr>
              <w:pStyle w:val="NoSpacing"/>
              <w:rPr>
                <w:rFonts w:ascii="Arial" w:hAnsi="Arial" w:cs="Arial"/>
              </w:rPr>
            </w:pPr>
            <w:r w:rsidRPr="00610052">
              <w:rPr>
                <w:rFonts w:ascii="Arial" w:hAnsi="Arial" w:cs="Arial"/>
              </w:rPr>
              <w:t>Growth, Environment &amp; Transport</w:t>
            </w:r>
          </w:p>
        </w:tc>
        <w:tc>
          <w:tcPr>
            <w:tcW w:w="851" w:type="dxa"/>
            <w:tcBorders>
              <w:top w:val="single" w:sz="4" w:space="0" w:color="auto"/>
              <w:left w:val="single" w:sz="4" w:space="0" w:color="auto"/>
              <w:bottom w:val="single" w:sz="4" w:space="0" w:color="auto"/>
              <w:right w:val="single" w:sz="4" w:space="0" w:color="auto"/>
            </w:tcBorders>
          </w:tcPr>
          <w:p w14:paraId="4DD70704" w14:textId="77777777" w:rsidR="007E01A2" w:rsidRPr="00610052" w:rsidRDefault="007E01A2" w:rsidP="00AB6544">
            <w:pPr>
              <w:pStyle w:val="NoSpacing"/>
              <w:rPr>
                <w:rFonts w:ascii="Arial" w:hAnsi="Arial" w:cs="Arial"/>
              </w:rPr>
            </w:pPr>
          </w:p>
          <w:p w14:paraId="4D34F081" w14:textId="77777777" w:rsidR="007E01A2" w:rsidRPr="00610052" w:rsidRDefault="007E01A2" w:rsidP="00AB6544">
            <w:pPr>
              <w:pStyle w:val="NoSpacing"/>
              <w:rPr>
                <w:rFonts w:ascii="Arial" w:hAnsi="Arial" w:cs="Arial"/>
              </w:rPr>
            </w:pPr>
            <w:r w:rsidRPr="00610052">
              <w:rPr>
                <w:rFonts w:ascii="Arial" w:hAnsi="Arial" w:cs="Arial"/>
              </w:rPr>
              <w:t>On target</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D825C1" w14:textId="77777777" w:rsidR="007E01A2" w:rsidRPr="00610052" w:rsidRDefault="007E01A2" w:rsidP="00AB6544">
            <w:pPr>
              <w:pStyle w:val="NoSpacing"/>
              <w:jc w:val="center"/>
              <w:rPr>
                <w:rFonts w:ascii="Arial" w:hAnsi="Arial" w:cs="Arial"/>
              </w:rPr>
            </w:pPr>
            <w:r w:rsidRPr="00610052">
              <w:rPr>
                <w:rFonts w:ascii="Arial" w:hAnsi="Arial" w:cs="Arial"/>
              </w:rPr>
              <w:t>26 new businesses Target 20</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2D6208" w14:textId="77777777" w:rsidR="007E01A2" w:rsidRPr="00610052" w:rsidRDefault="007E01A2" w:rsidP="00AB6544">
            <w:pPr>
              <w:pStyle w:val="NoSpacing"/>
              <w:jc w:val="center"/>
              <w:rPr>
                <w:rFonts w:ascii="Arial" w:hAnsi="Arial" w:cs="Arial"/>
              </w:rPr>
            </w:pPr>
            <w:r w:rsidRPr="00610052">
              <w:rPr>
                <w:rFonts w:ascii="Arial" w:hAnsi="Arial" w:cs="Arial"/>
                <w:color w:val="000000" w:themeColor="text1"/>
                <w:lang w:eastAsia="en-GB"/>
              </w:rPr>
              <w:t>40 new businesses Target 10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16A819" w14:textId="77777777" w:rsidR="007E01A2" w:rsidRPr="00610052" w:rsidRDefault="007E01A2" w:rsidP="00AB6544">
            <w:pPr>
              <w:pStyle w:val="NoSpacing"/>
              <w:jc w:val="center"/>
              <w:rPr>
                <w:rFonts w:ascii="Arial" w:hAnsi="Arial" w:cs="Arial"/>
              </w:rPr>
            </w:pPr>
            <w:r w:rsidRPr="00610052">
              <w:rPr>
                <w:rFonts w:ascii="Arial" w:hAnsi="Arial" w:cs="Arial"/>
              </w:rPr>
              <w:t>54 new businesses</w:t>
            </w:r>
          </w:p>
          <w:p w14:paraId="663B7CBB" w14:textId="77777777" w:rsidR="007E01A2" w:rsidRPr="00610052" w:rsidRDefault="007E01A2" w:rsidP="00AB6544">
            <w:pPr>
              <w:pStyle w:val="NoSpacing"/>
              <w:jc w:val="center"/>
              <w:rPr>
                <w:rFonts w:ascii="Arial" w:hAnsi="Arial" w:cs="Arial"/>
              </w:rPr>
            </w:pPr>
            <w:r w:rsidRPr="00610052">
              <w:rPr>
                <w:rFonts w:ascii="Arial" w:hAnsi="Arial" w:cs="Arial"/>
              </w:rPr>
              <w:t>Target 5</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481398" w14:textId="72855360" w:rsidR="007E01A2" w:rsidRPr="00610052" w:rsidRDefault="007E01A2" w:rsidP="4E6013FB">
            <w:pPr>
              <w:pStyle w:val="NoSpacing"/>
              <w:jc w:val="center"/>
              <w:rPr>
                <w:rFonts w:ascii="Arial" w:hAnsi="Arial" w:cs="Arial"/>
              </w:rPr>
            </w:pPr>
            <w:r w:rsidRPr="00610052">
              <w:rPr>
                <w:rFonts w:ascii="Arial" w:hAnsi="Arial" w:cs="Arial"/>
              </w:rPr>
              <w:t>38 new businesses</w:t>
            </w:r>
          </w:p>
          <w:p w14:paraId="7B0C9DB7" w14:textId="3AE5D6DE" w:rsidR="007E01A2" w:rsidRPr="00610052" w:rsidRDefault="007E01A2" w:rsidP="4E6013FB">
            <w:pPr>
              <w:pStyle w:val="NoSpacing"/>
              <w:jc w:val="center"/>
              <w:rPr>
                <w:rFonts w:ascii="Arial" w:hAnsi="Arial" w:cs="Arial"/>
              </w:rPr>
            </w:pPr>
            <w:r w:rsidRPr="00610052">
              <w:rPr>
                <w:rFonts w:ascii="Arial" w:hAnsi="Arial" w:cs="Arial"/>
              </w:rPr>
              <w:t>Target 5</w:t>
            </w:r>
          </w:p>
          <w:p w14:paraId="132CEDE0" w14:textId="7C9512E3" w:rsidR="007E01A2" w:rsidRPr="00610052" w:rsidRDefault="007E01A2" w:rsidP="4E6013FB">
            <w:pPr>
              <w:pStyle w:val="NoSpacing"/>
              <w:jc w:val="cente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835A15" w14:textId="5F074993" w:rsidR="007E01A2" w:rsidRPr="00610052" w:rsidRDefault="007E01A2" w:rsidP="1E055441">
            <w:pPr>
              <w:pStyle w:val="NoSpacing"/>
              <w:jc w:val="center"/>
              <w:rPr>
                <w:rFonts w:ascii="Arial" w:hAnsi="Arial" w:cs="Arial"/>
              </w:rPr>
            </w:pPr>
            <w:r w:rsidRPr="00610052">
              <w:rPr>
                <w:rFonts w:ascii="Arial" w:hAnsi="Arial" w:cs="Arial"/>
              </w:rPr>
              <w:t>65 new businesses</w:t>
            </w:r>
          </w:p>
          <w:p w14:paraId="7DD8D61B" w14:textId="2315C11C" w:rsidR="007E01A2" w:rsidRPr="00610052" w:rsidRDefault="007E01A2" w:rsidP="1E055441">
            <w:pPr>
              <w:pStyle w:val="NoSpacing"/>
              <w:jc w:val="center"/>
              <w:rPr>
                <w:rFonts w:ascii="Arial" w:hAnsi="Arial" w:cs="Arial"/>
              </w:rPr>
            </w:pPr>
            <w:r w:rsidRPr="00610052">
              <w:rPr>
                <w:rFonts w:ascii="Arial" w:hAnsi="Arial" w:cs="Arial"/>
              </w:rPr>
              <w:t>Target 5</w:t>
            </w:r>
          </w:p>
        </w:tc>
        <w:tc>
          <w:tcPr>
            <w:tcW w:w="1560" w:type="dxa"/>
            <w:tcBorders>
              <w:top w:val="single" w:sz="4" w:space="0" w:color="auto"/>
              <w:left w:val="single" w:sz="4" w:space="0" w:color="auto"/>
              <w:bottom w:val="single" w:sz="4" w:space="0" w:color="auto"/>
              <w:right w:val="single" w:sz="4" w:space="0" w:color="auto"/>
            </w:tcBorders>
          </w:tcPr>
          <w:p w14:paraId="3DAE58FB" w14:textId="77777777" w:rsidR="007E01A2" w:rsidRPr="00610052" w:rsidRDefault="007E01A2" w:rsidP="00AB6544">
            <w:pPr>
              <w:pStyle w:val="NoSpacing"/>
              <w:jc w:val="center"/>
              <w:rPr>
                <w:rFonts w:ascii="Arial" w:hAnsi="Arial" w:cs="Arial"/>
              </w:rPr>
            </w:pPr>
            <w:r w:rsidRPr="00610052">
              <w:rPr>
                <w:rFonts w:ascii="Arial" w:hAnsi="Arial" w:cs="Arial"/>
              </w:rPr>
              <w:t>200 new businesses Jan 2019 - Dec 2022</w:t>
            </w:r>
          </w:p>
        </w:tc>
      </w:tr>
    </w:tbl>
    <w:p w14:paraId="4A98DC12" w14:textId="77777777" w:rsidR="001453A9" w:rsidRDefault="001453A9" w:rsidP="4E6013FB">
      <w:pPr>
        <w:rPr>
          <w:rFonts w:eastAsia="Arial" w:cs="Arial"/>
          <w:b/>
          <w:bCs/>
          <w:color w:val="000000" w:themeColor="text1"/>
          <w:sz w:val="22"/>
          <w:szCs w:val="22"/>
        </w:rPr>
      </w:pPr>
    </w:p>
    <w:p w14:paraId="6DA908F6" w14:textId="0008B3A8" w:rsidR="004329E6" w:rsidRPr="004329E6" w:rsidRDefault="15A07A8C" w:rsidP="1E055441">
      <w:pPr>
        <w:rPr>
          <w:rFonts w:eastAsia="Arial" w:cs="Arial"/>
          <w:color w:val="000000" w:themeColor="text1"/>
        </w:rPr>
      </w:pPr>
      <w:r w:rsidRPr="1E055441">
        <w:rPr>
          <w:rFonts w:eastAsia="Arial" w:cs="Arial"/>
          <w:b/>
          <w:bCs/>
          <w:color w:val="000000" w:themeColor="text1"/>
        </w:rPr>
        <w:t>Rosebud -</w:t>
      </w:r>
      <w:r w:rsidRPr="1E055441">
        <w:rPr>
          <w:rFonts w:eastAsia="Arial" w:cs="Arial"/>
          <w:color w:val="000000" w:themeColor="text1"/>
        </w:rPr>
        <w:t xml:space="preserve"> </w:t>
      </w:r>
      <w:r w:rsidR="1EAF0D73" w:rsidRPr="1E055441">
        <w:rPr>
          <w:rFonts w:eastAsia="Arial" w:cs="Arial"/>
          <w:color w:val="000000" w:themeColor="text1"/>
        </w:rPr>
        <w:t>D</w:t>
      </w:r>
      <w:r w:rsidRPr="1E055441">
        <w:rPr>
          <w:rFonts w:eastAsia="Arial" w:cs="Arial"/>
          <w:color w:val="000000" w:themeColor="text1"/>
        </w:rPr>
        <w:t xml:space="preserve">isappointingly there were no investments with </w:t>
      </w:r>
      <w:r w:rsidR="00B10FB5">
        <w:rPr>
          <w:rFonts w:eastAsia="Arial" w:cs="Arial"/>
          <w:color w:val="000000" w:themeColor="text1"/>
        </w:rPr>
        <w:t>£</w:t>
      </w:r>
      <w:r w:rsidRPr="1E055441">
        <w:rPr>
          <w:rFonts w:eastAsia="Arial" w:cs="Arial"/>
          <w:color w:val="000000" w:themeColor="text1"/>
        </w:rPr>
        <w:t>647</w:t>
      </w:r>
      <w:r w:rsidR="00B10FB5">
        <w:rPr>
          <w:rFonts w:eastAsia="Arial" w:cs="Arial"/>
          <w:color w:val="000000" w:themeColor="text1"/>
        </w:rPr>
        <w:t>,000</w:t>
      </w:r>
      <w:r w:rsidRPr="1E055441">
        <w:rPr>
          <w:rFonts w:eastAsia="Arial" w:cs="Arial"/>
          <w:color w:val="000000" w:themeColor="text1"/>
        </w:rPr>
        <w:t xml:space="preserve"> of pipeline not coming to fruition for different reasons, the bulk of these will now complete in Q4 which should get us back to some parity and closer to the revised target of £1.01m this contract year (original target £2.25m). The market still remains slow and vastly reduced uptake on debt finance products, Rosebud </w:t>
      </w:r>
      <w:r w:rsidR="00682D18">
        <w:rPr>
          <w:rFonts w:eastAsia="Arial" w:cs="Arial"/>
          <w:color w:val="000000" w:themeColor="text1"/>
        </w:rPr>
        <w:t xml:space="preserve">is </w:t>
      </w:r>
      <w:r w:rsidRPr="1E055441">
        <w:rPr>
          <w:rFonts w:eastAsia="Arial" w:cs="Arial"/>
          <w:color w:val="000000" w:themeColor="text1"/>
        </w:rPr>
        <w:t>still struggling to compete with other products where a personal guarantee is not a required form of security. Government's decision on whether to extended or not the Recovery Loan Scheme come June 2022 will have a major impact on Rosebud.</w:t>
      </w:r>
    </w:p>
    <w:p w14:paraId="264BF92D" w14:textId="5AA384E0" w:rsidR="004329E6" w:rsidRPr="004329E6" w:rsidRDefault="15A07A8C" w:rsidP="1E055441">
      <w:pPr>
        <w:rPr>
          <w:rFonts w:ascii="Calibri" w:hAnsi="Calibri" w:cs="Calibri"/>
          <w:sz w:val="22"/>
          <w:szCs w:val="22"/>
        </w:rPr>
      </w:pPr>
      <w:r w:rsidRPr="1E055441">
        <w:rPr>
          <w:rFonts w:eastAsia="Arial" w:cs="Arial"/>
          <w:b/>
          <w:bCs/>
          <w:color w:val="000000" w:themeColor="text1"/>
        </w:rPr>
        <w:t xml:space="preserve">Boost ERDF Support - </w:t>
      </w:r>
      <w:r w:rsidRPr="1E055441">
        <w:rPr>
          <w:rFonts w:eastAsia="Arial" w:cs="Arial"/>
          <w:color w:val="000000" w:themeColor="text1"/>
        </w:rPr>
        <w:t xml:space="preserve">In quarter </w:t>
      </w:r>
      <w:r w:rsidR="6DC7ADB2" w:rsidRPr="1E055441">
        <w:rPr>
          <w:rFonts w:eastAsia="Arial" w:cs="Arial"/>
          <w:color w:val="000000" w:themeColor="text1"/>
        </w:rPr>
        <w:t xml:space="preserve">3, </w:t>
      </w:r>
      <w:r w:rsidRPr="1E055441">
        <w:rPr>
          <w:rFonts w:eastAsia="Arial" w:cs="Arial"/>
          <w:color w:val="000000" w:themeColor="text1"/>
        </w:rPr>
        <w:t xml:space="preserve">Boost saw a strong increase in the activity of the core services, with </w:t>
      </w:r>
      <w:r w:rsidR="00DA363B">
        <w:rPr>
          <w:rFonts w:eastAsia="Arial" w:cs="Arial"/>
          <w:color w:val="000000" w:themeColor="text1"/>
        </w:rPr>
        <w:t>the</w:t>
      </w:r>
      <w:r w:rsidRPr="1E055441">
        <w:rPr>
          <w:rFonts w:eastAsia="Arial" w:cs="Arial"/>
          <w:color w:val="000000" w:themeColor="text1"/>
        </w:rPr>
        <w:t xml:space="preserve"> procured service providers maximising on their resources to support </w:t>
      </w:r>
      <w:r w:rsidR="00DA363B">
        <w:rPr>
          <w:rFonts w:eastAsia="Arial" w:cs="Arial"/>
          <w:color w:val="000000" w:themeColor="text1"/>
        </w:rPr>
        <w:t>the</w:t>
      </w:r>
      <w:r w:rsidRPr="1E055441">
        <w:rPr>
          <w:rFonts w:eastAsia="Arial" w:cs="Arial"/>
          <w:color w:val="000000" w:themeColor="text1"/>
        </w:rPr>
        <w:t xml:space="preserve"> Lancashire business community and catch up on some missed support opportunities due to covid related factors.  This meant that </w:t>
      </w:r>
      <w:r w:rsidR="16937558" w:rsidRPr="1E055441">
        <w:rPr>
          <w:rFonts w:eastAsia="Arial" w:cs="Arial"/>
          <w:color w:val="000000" w:themeColor="text1"/>
        </w:rPr>
        <w:t>overall,</w:t>
      </w:r>
      <w:r w:rsidRPr="1E055441">
        <w:rPr>
          <w:rFonts w:eastAsia="Arial" w:cs="Arial"/>
          <w:color w:val="000000" w:themeColor="text1"/>
        </w:rPr>
        <w:t xml:space="preserve"> </w:t>
      </w:r>
      <w:r w:rsidR="00DA363B">
        <w:rPr>
          <w:rFonts w:eastAsia="Arial" w:cs="Arial"/>
          <w:color w:val="000000" w:themeColor="text1"/>
        </w:rPr>
        <w:t>the</w:t>
      </w:r>
      <w:r w:rsidRPr="1E055441">
        <w:rPr>
          <w:rFonts w:eastAsia="Arial" w:cs="Arial"/>
          <w:color w:val="000000" w:themeColor="text1"/>
        </w:rPr>
        <w:t xml:space="preserve"> programme delivered to agreed contractual targets.  It is worth noting that during this time </w:t>
      </w:r>
      <w:r w:rsidR="00DA363B">
        <w:rPr>
          <w:rFonts w:eastAsia="Arial" w:cs="Arial"/>
          <w:color w:val="000000" w:themeColor="text1"/>
        </w:rPr>
        <w:t>the</w:t>
      </w:r>
      <w:r w:rsidRPr="1E055441">
        <w:rPr>
          <w:rFonts w:eastAsia="Arial" w:cs="Arial"/>
          <w:color w:val="000000" w:themeColor="text1"/>
        </w:rPr>
        <w:t xml:space="preserve"> core services</w:t>
      </w:r>
      <w:r w:rsidR="00DA363B">
        <w:rPr>
          <w:rFonts w:eastAsia="Arial" w:cs="Arial"/>
          <w:color w:val="000000" w:themeColor="text1"/>
        </w:rPr>
        <w:t xml:space="preserve"> were reprocured</w:t>
      </w:r>
      <w:r w:rsidRPr="1E055441">
        <w:rPr>
          <w:rFonts w:eastAsia="Arial" w:cs="Arial"/>
          <w:color w:val="000000" w:themeColor="text1"/>
        </w:rPr>
        <w:t xml:space="preserve">.  The team are essentially closing down the Boost three element of the </w:t>
      </w:r>
      <w:r w:rsidRPr="1E055441">
        <w:rPr>
          <w:rFonts w:eastAsia="Arial" w:cs="Arial"/>
          <w:color w:val="000000" w:themeColor="text1"/>
        </w:rPr>
        <w:lastRenderedPageBreak/>
        <w:t xml:space="preserve">support services and timelining the new core services to follow on with a seamless transition and continuation of the core growth hub services. To this effect </w:t>
      </w:r>
      <w:r w:rsidR="00B10F91">
        <w:rPr>
          <w:rFonts w:eastAsia="Arial" w:cs="Arial"/>
          <w:color w:val="000000" w:themeColor="text1"/>
        </w:rPr>
        <w:t>there is now</w:t>
      </w:r>
      <w:r w:rsidRPr="1E055441">
        <w:rPr>
          <w:rFonts w:eastAsia="Arial" w:cs="Arial"/>
          <w:color w:val="000000" w:themeColor="text1"/>
        </w:rPr>
        <w:t xml:space="preserve"> one new provider delivering </w:t>
      </w:r>
      <w:r w:rsidR="00B10F91">
        <w:rPr>
          <w:rFonts w:eastAsia="Arial" w:cs="Arial"/>
          <w:color w:val="000000" w:themeColor="text1"/>
        </w:rPr>
        <w:t>the</w:t>
      </w:r>
      <w:r w:rsidRPr="1E055441">
        <w:rPr>
          <w:rFonts w:eastAsia="Arial" w:cs="Arial"/>
          <w:color w:val="000000" w:themeColor="text1"/>
        </w:rPr>
        <w:t xml:space="preserve"> Growth mentoring service, all other services were successfully reprocured during this </w:t>
      </w:r>
      <w:r w:rsidR="00FC026A">
        <w:rPr>
          <w:rFonts w:eastAsia="Arial" w:cs="Arial"/>
          <w:color w:val="000000" w:themeColor="text1"/>
        </w:rPr>
        <w:t>Official Journal of the European Union (</w:t>
      </w:r>
      <w:r w:rsidRPr="1E055441">
        <w:rPr>
          <w:rFonts w:eastAsia="Arial" w:cs="Arial"/>
          <w:color w:val="000000" w:themeColor="text1"/>
        </w:rPr>
        <w:t>OJEU</w:t>
      </w:r>
      <w:r w:rsidR="00FC026A">
        <w:rPr>
          <w:rFonts w:eastAsia="Arial" w:cs="Arial"/>
          <w:color w:val="000000" w:themeColor="text1"/>
        </w:rPr>
        <w:t>)</w:t>
      </w:r>
      <w:r w:rsidRPr="1E055441">
        <w:rPr>
          <w:rFonts w:eastAsia="Arial" w:cs="Arial"/>
          <w:color w:val="000000" w:themeColor="text1"/>
        </w:rPr>
        <w:t xml:space="preserve"> process. This service now has funding committed until September 2023</w:t>
      </w:r>
      <w:r w:rsidR="0040588A">
        <w:rPr>
          <w:rFonts w:eastAsia="Arial" w:cs="Arial"/>
          <w:color w:val="000000" w:themeColor="text1"/>
        </w:rPr>
        <w:t>. T</w:t>
      </w:r>
      <w:r w:rsidRPr="1E055441">
        <w:rPr>
          <w:rFonts w:eastAsia="Arial" w:cs="Arial"/>
          <w:color w:val="000000" w:themeColor="text1"/>
        </w:rPr>
        <w:t xml:space="preserve">he team will be using this time to embed best practice and have conversations with the various potential funders to make sure this continues to be a sustainable and relevant service for </w:t>
      </w:r>
      <w:r w:rsidR="00EF05F3">
        <w:rPr>
          <w:rFonts w:eastAsia="Arial" w:cs="Arial"/>
          <w:color w:val="000000" w:themeColor="text1"/>
        </w:rPr>
        <w:t>the</w:t>
      </w:r>
      <w:r w:rsidRPr="1E055441">
        <w:rPr>
          <w:rFonts w:eastAsia="Arial" w:cs="Arial"/>
          <w:color w:val="000000" w:themeColor="text1"/>
        </w:rPr>
        <w:t xml:space="preserve"> Lancashire business </w:t>
      </w:r>
      <w:r w:rsidR="40BE5E50" w:rsidRPr="1E055441">
        <w:rPr>
          <w:rFonts w:eastAsia="Arial" w:cs="Arial"/>
          <w:color w:val="000000" w:themeColor="text1"/>
        </w:rPr>
        <w:t>community. The</w:t>
      </w:r>
      <w:r w:rsidRPr="1E055441">
        <w:rPr>
          <w:rFonts w:eastAsia="Arial" w:cs="Arial"/>
          <w:color w:val="000000" w:themeColor="text1"/>
        </w:rPr>
        <w:t xml:space="preserve"> Growth hub (Boost) remains committed to curating and simplifying the business support eco system to enable growth ambitious businesses across t</w:t>
      </w:r>
      <w:r w:rsidR="00B9490D">
        <w:rPr>
          <w:rFonts w:eastAsia="Arial" w:cs="Arial"/>
          <w:color w:val="000000" w:themeColor="text1"/>
        </w:rPr>
        <w:t>he</w:t>
      </w:r>
      <w:r w:rsidRPr="1E055441">
        <w:rPr>
          <w:rFonts w:eastAsia="Arial" w:cs="Arial"/>
          <w:color w:val="000000" w:themeColor="text1"/>
        </w:rPr>
        <w:t xml:space="preserve"> county to benefit from the "R</w:t>
      </w:r>
      <w:r w:rsidR="00711979">
        <w:rPr>
          <w:rFonts w:eastAsia="Arial" w:cs="Arial"/>
          <w:color w:val="000000" w:themeColor="text1"/>
        </w:rPr>
        <w:t>ight</w:t>
      </w:r>
      <w:r w:rsidRPr="1E055441">
        <w:rPr>
          <w:rFonts w:eastAsia="Arial" w:cs="Arial"/>
          <w:color w:val="000000" w:themeColor="text1"/>
        </w:rPr>
        <w:t>" support at the "Right" time.</w:t>
      </w:r>
    </w:p>
    <w:p w14:paraId="15087CEC" w14:textId="0965692E" w:rsidR="004329E6" w:rsidRPr="004329E6" w:rsidRDefault="004329E6" w:rsidP="1E055441">
      <w:pPr>
        <w:rPr>
          <w:b/>
          <w:bCs/>
          <w:color w:val="000000" w:themeColor="text1"/>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1400A4" w14:paraId="69D4EB61"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22F0217A" w14:textId="77777777" w:rsidR="001400A4" w:rsidRPr="00A13FE9" w:rsidRDefault="001400A4" w:rsidP="00AB6544">
            <w:pPr>
              <w:pStyle w:val="NoSpacing"/>
              <w:rPr>
                <w:rFonts w:ascii="Arial" w:hAnsi="Arial" w:cs="Arial"/>
                <w:b/>
              </w:rPr>
            </w:pPr>
            <w:bookmarkStart w:id="5" w:name="_Hlk95731050"/>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7140FD84" w14:textId="77777777" w:rsidR="001400A4" w:rsidRPr="00A13FE9" w:rsidRDefault="001400A4" w:rsidP="00AB6544">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14:paraId="654A93A2" w14:textId="77777777" w:rsidR="001400A4" w:rsidRPr="00A13FE9" w:rsidRDefault="001400A4" w:rsidP="00AB6544">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14:paraId="790E903B" w14:textId="77777777" w:rsidR="001400A4" w:rsidRPr="00A13FE9" w:rsidRDefault="001400A4" w:rsidP="00AB6544">
            <w:pPr>
              <w:pStyle w:val="NoSpacing"/>
              <w:spacing w:line="252" w:lineRule="auto"/>
              <w:rPr>
                <w:rFonts w:ascii="Arial" w:eastAsiaTheme="minorHAnsi" w:hAnsi="Arial" w:cs="Arial"/>
                <w:b/>
                <w:bCs/>
              </w:rPr>
            </w:pPr>
            <w:r w:rsidRPr="00A13FE9">
              <w:rPr>
                <w:rFonts w:ascii="Arial" w:hAnsi="Arial" w:cs="Arial"/>
                <w:b/>
                <w:bCs/>
              </w:rPr>
              <w:t>Current Performance</w:t>
            </w:r>
          </w:p>
          <w:p w14:paraId="3EC0143B" w14:textId="77777777" w:rsidR="001400A4" w:rsidRPr="00A13FE9" w:rsidRDefault="001400A4" w:rsidP="00AB6544">
            <w:pPr>
              <w:pStyle w:val="NoSpacing"/>
              <w:spacing w:line="252" w:lineRule="auto"/>
              <w:rPr>
                <w:rFonts w:ascii="Arial" w:eastAsiaTheme="minorHAnsi" w:hAnsi="Arial" w:cs="Arial"/>
                <w:b/>
                <w:bCs/>
              </w:rPr>
            </w:pPr>
          </w:p>
        </w:tc>
      </w:tr>
      <w:tr w:rsidR="001400A4" w14:paraId="627BEF28"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2856E12D" w14:textId="77777777" w:rsidR="001400A4" w:rsidRPr="00A13FE9" w:rsidRDefault="001400A4" w:rsidP="00AB6544">
            <w:pPr>
              <w:pStyle w:val="NoSpacing"/>
              <w:rPr>
                <w:rFonts w:ascii="Arial" w:hAnsi="Arial" w:cs="Arial"/>
              </w:rPr>
            </w:pPr>
            <w:r w:rsidRPr="00A13FE9">
              <w:rPr>
                <w:rFonts w:ascii="Arial" w:hAnsi="Arial" w:cs="Arial"/>
              </w:rPr>
              <w:t>Number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28093545" w14:textId="77777777" w:rsidR="001400A4" w:rsidRPr="00A13FE9" w:rsidRDefault="001400A4"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044D5B35" w14:textId="77777777" w:rsidR="001400A4" w:rsidRPr="00A13FE9" w:rsidRDefault="001400A4" w:rsidP="00AB6544">
            <w:pPr>
              <w:pStyle w:val="NoSpacing"/>
              <w:rPr>
                <w:rFonts w:ascii="Arial" w:hAnsi="Arial" w:cs="Arial"/>
                <w:color w:val="FF0000"/>
              </w:rPr>
            </w:pPr>
            <w:r w:rsidRPr="00A13FE9">
              <w:rPr>
                <w:rFonts w:ascii="Arial" w:hAnsi="Arial" w:cs="Arial"/>
              </w:rPr>
              <w:t>Growth, Environment and Transport</w:t>
            </w:r>
          </w:p>
        </w:tc>
        <w:tc>
          <w:tcPr>
            <w:tcW w:w="6237" w:type="dxa"/>
            <w:vMerge w:val="restart"/>
            <w:tcBorders>
              <w:top w:val="single" w:sz="8" w:space="0" w:color="auto"/>
              <w:left w:val="nil"/>
              <w:right w:val="single" w:sz="4" w:space="0" w:color="auto"/>
            </w:tcBorders>
          </w:tcPr>
          <w:p w14:paraId="26B0AA24" w14:textId="677BB78E" w:rsidR="001400A4" w:rsidRPr="00A13FE9" w:rsidRDefault="001400A4" w:rsidP="00AB6544">
            <w:pPr>
              <w:pStyle w:val="NoSpacing"/>
              <w:rPr>
                <w:rFonts w:ascii="Arial" w:hAnsi="Arial" w:cs="Arial"/>
              </w:rPr>
            </w:pPr>
            <w:r w:rsidRPr="0D5360B6">
              <w:rPr>
                <w:rFonts w:ascii="Arial" w:hAnsi="Arial" w:cs="Arial"/>
              </w:rPr>
              <w:t>Annual Report – schedule to be confirmed.</w:t>
            </w:r>
            <w:r w:rsidR="00BC23DC">
              <w:rPr>
                <w:rFonts w:ascii="Arial" w:hAnsi="Arial" w:cs="Arial"/>
              </w:rPr>
              <w:t xml:space="preserve"> </w:t>
            </w:r>
            <w:r w:rsidR="007B719F">
              <w:rPr>
                <w:rFonts w:ascii="Arial" w:hAnsi="Arial" w:cs="Arial"/>
              </w:rPr>
              <w:t>Some d</w:t>
            </w:r>
            <w:r w:rsidR="00474802">
              <w:rPr>
                <w:rFonts w:ascii="Arial" w:hAnsi="Arial" w:cs="Arial"/>
              </w:rPr>
              <w:t xml:space="preserve">ata available – </w:t>
            </w:r>
            <w:r w:rsidR="00C11F86">
              <w:rPr>
                <w:rFonts w:ascii="Arial" w:hAnsi="Arial" w:cs="Arial"/>
              </w:rPr>
              <w:t>r</w:t>
            </w:r>
            <w:r w:rsidR="00474802">
              <w:rPr>
                <w:rFonts w:ascii="Arial" w:hAnsi="Arial" w:cs="Arial"/>
              </w:rPr>
              <w:t>eport p</w:t>
            </w:r>
            <w:r w:rsidR="00F2184C">
              <w:rPr>
                <w:rFonts w:ascii="Arial" w:hAnsi="Arial" w:cs="Arial"/>
              </w:rPr>
              <w:t xml:space="preserve">otentially soon – May </w:t>
            </w:r>
            <w:r w:rsidR="00800208">
              <w:rPr>
                <w:rFonts w:ascii="Arial" w:hAnsi="Arial" w:cs="Arial"/>
              </w:rPr>
              <w:t>or July</w:t>
            </w:r>
            <w:r w:rsidR="00F2184C">
              <w:rPr>
                <w:rFonts w:ascii="Arial" w:hAnsi="Arial" w:cs="Arial"/>
              </w:rPr>
              <w:t xml:space="preserve"> 2022</w:t>
            </w:r>
            <w:r w:rsidR="007B719F">
              <w:rPr>
                <w:rFonts w:ascii="Arial" w:hAnsi="Arial" w:cs="Arial"/>
              </w:rPr>
              <w:t xml:space="preserve"> meeting</w:t>
            </w:r>
            <w:r w:rsidR="00F2184C">
              <w:rPr>
                <w:rFonts w:ascii="Arial" w:hAnsi="Arial" w:cs="Arial"/>
              </w:rPr>
              <w:t>.</w:t>
            </w:r>
          </w:p>
        </w:tc>
      </w:tr>
      <w:bookmarkEnd w:id="5"/>
      <w:tr w:rsidR="001400A4" w14:paraId="5EE371BC"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4792C7B1" w14:textId="77777777" w:rsidR="001400A4" w:rsidRPr="00A13FE9" w:rsidRDefault="001400A4" w:rsidP="00AB6544">
            <w:pPr>
              <w:pStyle w:val="NoSpacing"/>
              <w:rPr>
                <w:rFonts w:ascii="Arial" w:hAnsi="Arial" w:cs="Arial"/>
              </w:rPr>
            </w:pPr>
            <w:r w:rsidRPr="00A13FE9">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6503BC4C" w14:textId="77777777" w:rsidR="001400A4" w:rsidRPr="00A13FE9" w:rsidRDefault="001400A4"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5B5B9822" w14:textId="77777777" w:rsidR="001400A4" w:rsidRPr="00A13FE9" w:rsidRDefault="001400A4" w:rsidP="00AB6544">
            <w:pPr>
              <w:pStyle w:val="NoSpacing"/>
              <w:rPr>
                <w:rFonts w:ascii="Arial" w:hAnsi="Arial" w:cs="Arial"/>
                <w:color w:val="FF0000"/>
              </w:rPr>
            </w:pPr>
            <w:r w:rsidRPr="00A13FE9">
              <w:rPr>
                <w:rFonts w:ascii="Arial" w:hAnsi="Arial" w:cs="Arial"/>
              </w:rPr>
              <w:t>Growth, Environment and Transport</w:t>
            </w:r>
          </w:p>
        </w:tc>
        <w:tc>
          <w:tcPr>
            <w:tcW w:w="6237" w:type="dxa"/>
            <w:vMerge/>
          </w:tcPr>
          <w:p w14:paraId="63E83919" w14:textId="77777777" w:rsidR="001400A4" w:rsidRPr="00A13FE9" w:rsidRDefault="001400A4" w:rsidP="00AB6544">
            <w:pPr>
              <w:pStyle w:val="NoSpacing"/>
              <w:rPr>
                <w:rFonts w:ascii="Arial" w:hAnsi="Arial" w:cs="Arial"/>
              </w:rPr>
            </w:pPr>
          </w:p>
        </w:tc>
      </w:tr>
      <w:tr w:rsidR="001400A4" w14:paraId="345D55C5"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568F2A96" w14:textId="77777777" w:rsidR="001400A4" w:rsidRPr="00A13FE9" w:rsidRDefault="001400A4" w:rsidP="00AB6544">
            <w:pPr>
              <w:pStyle w:val="NoSpacing"/>
              <w:rPr>
                <w:rFonts w:ascii="Arial" w:hAnsi="Arial" w:cs="Arial"/>
              </w:rPr>
            </w:pPr>
            <w:r w:rsidRPr="00A13FE9">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14:paraId="4D61AEE8" w14:textId="77777777" w:rsidR="001400A4" w:rsidRPr="00A13FE9" w:rsidRDefault="001400A4"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377FE222" w14:textId="77777777" w:rsidR="001400A4" w:rsidRPr="002B3909" w:rsidRDefault="001400A4" w:rsidP="00AB6544">
            <w:pPr>
              <w:pStyle w:val="NoSpacing"/>
              <w:rPr>
                <w:rFonts w:ascii="Arial" w:hAnsi="Arial" w:cs="Arial"/>
                <w:color w:val="FF0000"/>
              </w:rPr>
            </w:pPr>
            <w:r w:rsidRPr="00A13FE9">
              <w:rPr>
                <w:rFonts w:ascii="Arial" w:hAnsi="Arial" w:cs="Arial"/>
              </w:rPr>
              <w:t>Growth, Environment and Transport</w:t>
            </w:r>
          </w:p>
        </w:tc>
        <w:tc>
          <w:tcPr>
            <w:tcW w:w="6237" w:type="dxa"/>
            <w:vMerge/>
          </w:tcPr>
          <w:p w14:paraId="401302C0" w14:textId="77777777" w:rsidR="001400A4" w:rsidRPr="00FA30B2" w:rsidRDefault="001400A4" w:rsidP="00AB6544">
            <w:pPr>
              <w:pStyle w:val="NoSpacing"/>
              <w:rPr>
                <w:rFonts w:ascii="Arial" w:hAnsi="Arial" w:cs="Arial"/>
              </w:rPr>
            </w:pPr>
          </w:p>
        </w:tc>
      </w:tr>
      <w:tr w:rsidR="001A0846" w14:paraId="2D4CA99F" w14:textId="77777777" w:rsidTr="0D53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4536" w:type="dxa"/>
            <w:tcBorders>
              <w:top w:val="single" w:sz="4" w:space="0" w:color="auto"/>
              <w:left w:val="single" w:sz="4" w:space="0" w:color="auto"/>
              <w:bottom w:val="single" w:sz="4" w:space="0" w:color="auto"/>
              <w:right w:val="single" w:sz="4" w:space="0" w:color="auto"/>
            </w:tcBorders>
          </w:tcPr>
          <w:p w14:paraId="678187C0" w14:textId="6D03BBCE" w:rsidR="001A0846" w:rsidRPr="62385CB5" w:rsidRDefault="001A0846" w:rsidP="00AB6544">
            <w:pPr>
              <w:jc w:val="left"/>
              <w:rPr>
                <w:rFonts w:eastAsia="Arial" w:cs="Arial"/>
                <w:color w:val="000000" w:themeColor="text1"/>
                <w:sz w:val="22"/>
                <w:szCs w:val="22"/>
              </w:rPr>
            </w:pPr>
            <w:r>
              <w:rPr>
                <w:rFonts w:eastAsia="Arial" w:cs="Arial"/>
                <w:color w:val="000000" w:themeColor="text1"/>
                <w:sz w:val="22"/>
                <w:szCs w:val="22"/>
              </w:rPr>
              <w:t xml:space="preserve">Number of Graduates working </w:t>
            </w:r>
            <w:r w:rsidR="00B40798">
              <w:rPr>
                <w:rFonts w:eastAsia="Arial" w:cs="Arial"/>
                <w:color w:val="000000" w:themeColor="text1"/>
                <w:sz w:val="22"/>
                <w:szCs w:val="22"/>
              </w:rPr>
              <w:t>in Lancashire</w:t>
            </w:r>
          </w:p>
        </w:tc>
        <w:tc>
          <w:tcPr>
            <w:tcW w:w="1418" w:type="dxa"/>
            <w:tcBorders>
              <w:top w:val="single" w:sz="4" w:space="0" w:color="auto"/>
              <w:left w:val="single" w:sz="4" w:space="0" w:color="auto"/>
              <w:bottom w:val="single" w:sz="4" w:space="0" w:color="auto"/>
              <w:right w:val="single" w:sz="4" w:space="0" w:color="auto"/>
            </w:tcBorders>
          </w:tcPr>
          <w:p w14:paraId="6F41CE8D" w14:textId="0D00A698" w:rsidR="001A0846" w:rsidRPr="62385CB5" w:rsidRDefault="00B40798" w:rsidP="00AB6544">
            <w:pPr>
              <w:jc w:val="left"/>
              <w:rPr>
                <w:rFonts w:eastAsia="Arial" w:cs="Arial"/>
                <w:color w:val="000000" w:themeColor="text1"/>
                <w:sz w:val="22"/>
                <w:szCs w:val="22"/>
              </w:rPr>
            </w:pPr>
            <w:r>
              <w:rPr>
                <w:rFonts w:eastAsia="Arial" w:cs="Arial"/>
                <w:color w:val="000000" w:themeColor="text1"/>
                <w:sz w:val="22"/>
                <w:szCs w:val="22"/>
              </w:rPr>
              <w:t>Annual</w:t>
            </w:r>
          </w:p>
        </w:tc>
        <w:tc>
          <w:tcPr>
            <w:tcW w:w="1843" w:type="dxa"/>
            <w:tcBorders>
              <w:top w:val="single" w:sz="4" w:space="0" w:color="auto"/>
              <w:left w:val="single" w:sz="4" w:space="0" w:color="auto"/>
              <w:bottom w:val="single" w:sz="4" w:space="0" w:color="auto"/>
              <w:right w:val="single" w:sz="4" w:space="0" w:color="auto"/>
            </w:tcBorders>
          </w:tcPr>
          <w:p w14:paraId="4A9DF673" w14:textId="778113F0" w:rsidR="001A0846" w:rsidRPr="00B40798" w:rsidRDefault="00B40798" w:rsidP="00AB6544">
            <w:pPr>
              <w:jc w:val="left"/>
              <w:rPr>
                <w:rFonts w:eastAsia="Arial" w:cs="Arial"/>
                <w:color w:val="000000" w:themeColor="text1"/>
                <w:sz w:val="22"/>
                <w:szCs w:val="22"/>
              </w:rPr>
            </w:pPr>
            <w:r w:rsidRPr="00B40798">
              <w:rPr>
                <w:rFonts w:cs="Arial"/>
                <w:sz w:val="22"/>
                <w:szCs w:val="22"/>
              </w:rPr>
              <w:t>Growth, Environment and Transport</w:t>
            </w:r>
          </w:p>
        </w:tc>
        <w:tc>
          <w:tcPr>
            <w:tcW w:w="6237" w:type="dxa"/>
            <w:tcBorders>
              <w:top w:val="single" w:sz="4" w:space="0" w:color="auto"/>
              <w:left w:val="single" w:sz="4" w:space="0" w:color="auto"/>
              <w:bottom w:val="single" w:sz="4" w:space="0" w:color="auto"/>
              <w:right w:val="single" w:sz="4" w:space="0" w:color="auto"/>
            </w:tcBorders>
          </w:tcPr>
          <w:p w14:paraId="2904841A" w14:textId="201CD696" w:rsidR="001A0846" w:rsidRPr="00711979" w:rsidRDefault="00711979" w:rsidP="00AB6544">
            <w:pPr>
              <w:jc w:val="left"/>
              <w:rPr>
                <w:rFonts w:eastAsia="Arial" w:cs="Arial"/>
                <w:color w:val="000000" w:themeColor="text1"/>
                <w:sz w:val="22"/>
                <w:szCs w:val="22"/>
              </w:rPr>
            </w:pPr>
            <w:r w:rsidRPr="00711979">
              <w:rPr>
                <w:rFonts w:cs="Arial"/>
                <w:sz w:val="22"/>
                <w:szCs w:val="22"/>
              </w:rPr>
              <w:t>Annual Report – schedule to be confirmed</w:t>
            </w:r>
          </w:p>
        </w:tc>
      </w:tr>
      <w:tr w:rsidR="001400A4" w14:paraId="5289A58D" w14:textId="77777777" w:rsidTr="0D53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4536" w:type="dxa"/>
            <w:tcBorders>
              <w:top w:val="single" w:sz="4" w:space="0" w:color="auto"/>
              <w:left w:val="single" w:sz="4" w:space="0" w:color="auto"/>
              <w:bottom w:val="single" w:sz="4" w:space="0" w:color="auto"/>
              <w:right w:val="single" w:sz="4" w:space="0" w:color="auto"/>
            </w:tcBorders>
          </w:tcPr>
          <w:p w14:paraId="4257D74D" w14:textId="77777777" w:rsidR="001400A4" w:rsidRPr="001E31D4" w:rsidRDefault="001400A4" w:rsidP="00AB6544">
            <w:pPr>
              <w:jc w:val="left"/>
            </w:pPr>
            <w:r w:rsidRPr="62385CB5">
              <w:rPr>
                <w:rFonts w:eastAsia="Arial" w:cs="Arial"/>
                <w:color w:val="000000" w:themeColor="text1"/>
                <w:sz w:val="22"/>
                <w:szCs w:val="22"/>
              </w:rPr>
              <w:t xml:space="preserve">Progress on the apprenticeship levy </w:t>
            </w:r>
          </w:p>
        </w:tc>
        <w:tc>
          <w:tcPr>
            <w:tcW w:w="1418" w:type="dxa"/>
            <w:tcBorders>
              <w:top w:val="single" w:sz="4" w:space="0" w:color="auto"/>
              <w:left w:val="single" w:sz="4" w:space="0" w:color="auto"/>
              <w:bottom w:val="single" w:sz="4" w:space="0" w:color="auto"/>
              <w:right w:val="single" w:sz="4" w:space="0" w:color="auto"/>
            </w:tcBorders>
          </w:tcPr>
          <w:p w14:paraId="3EEB84A8" w14:textId="77777777" w:rsidR="001400A4" w:rsidRDefault="001400A4" w:rsidP="00AB6544">
            <w:pPr>
              <w:jc w:val="left"/>
            </w:pPr>
            <w:r w:rsidRPr="62385CB5">
              <w:rPr>
                <w:rFonts w:eastAsia="Arial" w:cs="Arial"/>
                <w:color w:val="000000" w:themeColor="text1"/>
                <w:sz w:val="22"/>
                <w:szCs w:val="22"/>
              </w:rPr>
              <w:t xml:space="preserve">Annual </w:t>
            </w:r>
          </w:p>
        </w:tc>
        <w:tc>
          <w:tcPr>
            <w:tcW w:w="1843" w:type="dxa"/>
            <w:tcBorders>
              <w:top w:val="single" w:sz="4" w:space="0" w:color="auto"/>
              <w:left w:val="single" w:sz="4" w:space="0" w:color="auto"/>
              <w:bottom w:val="single" w:sz="4" w:space="0" w:color="auto"/>
              <w:right w:val="single" w:sz="4" w:space="0" w:color="auto"/>
            </w:tcBorders>
          </w:tcPr>
          <w:p w14:paraId="6C4CF925" w14:textId="77777777" w:rsidR="001400A4" w:rsidRDefault="001400A4" w:rsidP="00AB6544">
            <w:pPr>
              <w:jc w:val="left"/>
            </w:pPr>
            <w:r w:rsidRPr="62385CB5">
              <w:rPr>
                <w:rFonts w:eastAsia="Arial" w:cs="Arial"/>
                <w:color w:val="000000" w:themeColor="text1"/>
                <w:sz w:val="22"/>
                <w:szCs w:val="22"/>
              </w:rPr>
              <w:t xml:space="preserve">Chief Executive and Director of Resources </w:t>
            </w:r>
          </w:p>
        </w:tc>
        <w:tc>
          <w:tcPr>
            <w:tcW w:w="6237" w:type="dxa"/>
            <w:tcBorders>
              <w:top w:val="single" w:sz="4" w:space="0" w:color="auto"/>
              <w:left w:val="single" w:sz="4" w:space="0" w:color="auto"/>
              <w:bottom w:val="single" w:sz="4" w:space="0" w:color="auto"/>
              <w:right w:val="single" w:sz="4" w:space="0" w:color="auto"/>
            </w:tcBorders>
          </w:tcPr>
          <w:p w14:paraId="5FFEF1A8" w14:textId="6DC18678" w:rsidR="001400A4" w:rsidRDefault="001400A4" w:rsidP="00AB6544">
            <w:pPr>
              <w:jc w:val="left"/>
            </w:pPr>
            <w:r w:rsidRPr="62385CB5">
              <w:rPr>
                <w:rFonts w:eastAsia="Arial" w:cs="Arial"/>
                <w:color w:val="000000" w:themeColor="text1"/>
                <w:sz w:val="22"/>
                <w:szCs w:val="22"/>
              </w:rPr>
              <w:t xml:space="preserve">Annual Report – schedule to be confirmed </w:t>
            </w:r>
            <w:r w:rsidR="009F0204">
              <w:rPr>
                <w:rFonts w:eastAsia="Arial" w:cs="Arial"/>
                <w:color w:val="000000" w:themeColor="text1"/>
                <w:sz w:val="22"/>
                <w:szCs w:val="22"/>
              </w:rPr>
              <w:t>(July</w:t>
            </w:r>
            <w:r w:rsidR="00DE6588">
              <w:rPr>
                <w:rFonts w:eastAsia="Arial" w:cs="Arial"/>
                <w:color w:val="000000" w:themeColor="text1"/>
                <w:sz w:val="22"/>
                <w:szCs w:val="22"/>
              </w:rPr>
              <w:t xml:space="preserve"> 2022</w:t>
            </w:r>
            <w:r w:rsidR="00D9156C">
              <w:rPr>
                <w:rFonts w:eastAsia="Arial" w:cs="Arial"/>
                <w:color w:val="000000" w:themeColor="text1"/>
                <w:sz w:val="22"/>
                <w:szCs w:val="22"/>
              </w:rPr>
              <w:t>)</w:t>
            </w:r>
          </w:p>
        </w:tc>
      </w:tr>
    </w:tbl>
    <w:p w14:paraId="1F77B39A" w14:textId="77777777" w:rsidR="004274A1" w:rsidRDefault="004274A1" w:rsidP="00090583">
      <w:pPr>
        <w:pStyle w:val="NoSpacing"/>
        <w:rPr>
          <w:rFonts w:ascii="Arial" w:hAnsi="Arial" w:cs="Arial"/>
          <w:b/>
        </w:rPr>
      </w:pPr>
    </w:p>
    <w:p w14:paraId="0F8458FF" w14:textId="024B57E6" w:rsidR="00090583" w:rsidRDefault="00090583" w:rsidP="00090583">
      <w:pPr>
        <w:pStyle w:val="NoSpacing"/>
        <w:rPr>
          <w:rFonts w:ascii="Arial" w:hAnsi="Arial" w:cs="Arial"/>
          <w:b/>
          <w:sz w:val="24"/>
          <w:szCs w:val="24"/>
        </w:rPr>
      </w:pPr>
      <w:r w:rsidRPr="00FB4593">
        <w:rPr>
          <w:rFonts w:ascii="Arial" w:hAnsi="Arial" w:cs="Arial"/>
          <w:b/>
          <w:sz w:val="24"/>
          <w:szCs w:val="24"/>
        </w:rPr>
        <w:t>Educational attainment</w:t>
      </w:r>
    </w:p>
    <w:p w14:paraId="404B84A7" w14:textId="2C2CD230" w:rsidR="00BF7A9B" w:rsidRDefault="00BF7A9B" w:rsidP="00090583">
      <w:pPr>
        <w:pStyle w:val="NoSpacing"/>
        <w:rPr>
          <w:rFonts w:ascii="Arial" w:hAnsi="Arial" w:cs="Arial"/>
          <w:b/>
          <w:sz w:val="24"/>
          <w:szCs w:val="24"/>
        </w:rPr>
      </w:pPr>
    </w:p>
    <w:p w14:paraId="5A628E55" w14:textId="77777777" w:rsidR="00BF7A9B" w:rsidRPr="00FB4593" w:rsidRDefault="00BF7A9B" w:rsidP="00BF7A9B">
      <w:pPr>
        <w:pStyle w:val="NoSpacing"/>
        <w:jc w:val="both"/>
        <w:rPr>
          <w:rFonts w:ascii="Arial" w:hAnsi="Arial" w:cs="Arial"/>
          <w:sz w:val="24"/>
          <w:szCs w:val="24"/>
        </w:rPr>
      </w:pPr>
      <w:r w:rsidRPr="00FB4593">
        <w:rPr>
          <w:rFonts w:ascii="Arial" w:hAnsi="Arial" w:cs="Arial"/>
          <w:b/>
          <w:bCs/>
          <w:sz w:val="24"/>
          <w:szCs w:val="24"/>
        </w:rPr>
        <w:t xml:space="preserve">Early years Foundation Stage and Key Stage 2. </w:t>
      </w:r>
      <w:r w:rsidRPr="00FB4593">
        <w:rPr>
          <w:rFonts w:ascii="Arial" w:hAnsi="Arial" w:cs="Arial"/>
          <w:sz w:val="24"/>
          <w:szCs w:val="24"/>
        </w:rPr>
        <w:t>Assessments did not take place for the period 2019/20 and 2020/21</w:t>
      </w:r>
      <w:r w:rsidRPr="00FB4593">
        <w:rPr>
          <w:rFonts w:ascii="Arial" w:hAnsi="Arial" w:cs="Arial"/>
          <w:b/>
          <w:bCs/>
          <w:sz w:val="24"/>
          <w:szCs w:val="24"/>
        </w:rPr>
        <w:t xml:space="preserve"> </w:t>
      </w:r>
      <w:r w:rsidRPr="00FB4593">
        <w:rPr>
          <w:rFonts w:ascii="Arial" w:hAnsi="Arial" w:cs="Arial"/>
          <w:sz w:val="24"/>
          <w:szCs w:val="24"/>
        </w:rPr>
        <w:t>(EYFS not mandatory during this period) hence the omission of performance updates under these areas.</w:t>
      </w:r>
    </w:p>
    <w:p w14:paraId="6356F298" w14:textId="77777777" w:rsidR="00090583" w:rsidRPr="00FB4593" w:rsidRDefault="00090583" w:rsidP="00090583">
      <w:pPr>
        <w:pStyle w:val="NoSpacing"/>
        <w:rPr>
          <w:rFonts w:ascii="Arial" w:hAnsi="Arial" w:cs="Arial"/>
          <w:b/>
          <w:sz w:val="24"/>
          <w:szCs w:val="24"/>
        </w:rPr>
      </w:pPr>
    </w:p>
    <w:p w14:paraId="546DF451" w14:textId="6C2AC6D0" w:rsidR="00BF7A9B" w:rsidRDefault="00BF7A9B" w:rsidP="00090583">
      <w:pPr>
        <w:pStyle w:val="NoSpacing"/>
        <w:rPr>
          <w:rFonts w:ascii="Arial" w:hAnsi="Arial" w:cs="Arial"/>
          <w:color w:val="000000" w:themeColor="text1"/>
          <w:sz w:val="24"/>
          <w:szCs w:val="24"/>
        </w:rPr>
      </w:pPr>
    </w:p>
    <w:tbl>
      <w:tblPr>
        <w:tblW w:w="13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27"/>
        <w:gridCol w:w="1398"/>
        <w:gridCol w:w="1531"/>
        <w:gridCol w:w="839"/>
        <w:gridCol w:w="1118"/>
        <w:gridCol w:w="1541"/>
        <w:gridCol w:w="1094"/>
        <w:gridCol w:w="1810"/>
        <w:gridCol w:w="1118"/>
      </w:tblGrid>
      <w:tr w:rsidR="00BF7A9B" w14:paraId="0A03FED4" w14:textId="77777777" w:rsidTr="00AF6B01">
        <w:trPr>
          <w:trHeight w:val="375"/>
        </w:trPr>
        <w:tc>
          <w:tcPr>
            <w:tcW w:w="3327" w:type="dxa"/>
          </w:tcPr>
          <w:p w14:paraId="402DF60F" w14:textId="77777777" w:rsidR="00BF7A9B" w:rsidRPr="00387F7F" w:rsidRDefault="00BF7A9B" w:rsidP="00AF6B01">
            <w:pPr>
              <w:rPr>
                <w:sz w:val="20"/>
                <w:szCs w:val="20"/>
              </w:rPr>
            </w:pPr>
            <w:r w:rsidRPr="00387F7F">
              <w:rPr>
                <w:rFonts w:eastAsia="Arial" w:cs="Arial"/>
                <w:b/>
                <w:bCs/>
                <w:sz w:val="20"/>
                <w:szCs w:val="20"/>
              </w:rPr>
              <w:t>Performance Indicator</w:t>
            </w:r>
          </w:p>
        </w:tc>
        <w:tc>
          <w:tcPr>
            <w:tcW w:w="1398" w:type="dxa"/>
          </w:tcPr>
          <w:p w14:paraId="3E457C4F" w14:textId="77777777" w:rsidR="00BF7A9B" w:rsidRPr="00387F7F" w:rsidRDefault="00BF7A9B" w:rsidP="00AF6B01">
            <w:pPr>
              <w:rPr>
                <w:sz w:val="20"/>
                <w:szCs w:val="20"/>
              </w:rPr>
            </w:pPr>
            <w:r w:rsidRPr="00387F7F">
              <w:rPr>
                <w:rFonts w:eastAsia="Arial" w:cs="Arial"/>
                <w:b/>
                <w:bCs/>
                <w:sz w:val="20"/>
                <w:szCs w:val="20"/>
              </w:rPr>
              <w:t>Frequency</w:t>
            </w:r>
          </w:p>
        </w:tc>
        <w:tc>
          <w:tcPr>
            <w:tcW w:w="1531" w:type="dxa"/>
          </w:tcPr>
          <w:p w14:paraId="0ABEBAE5" w14:textId="77777777" w:rsidR="00BF7A9B" w:rsidRPr="00387F7F" w:rsidRDefault="00BF7A9B" w:rsidP="00AF6B01">
            <w:pPr>
              <w:rPr>
                <w:sz w:val="20"/>
                <w:szCs w:val="20"/>
              </w:rPr>
            </w:pPr>
            <w:r w:rsidRPr="00387F7F">
              <w:rPr>
                <w:rFonts w:eastAsia="Arial" w:cs="Arial"/>
                <w:b/>
                <w:bCs/>
                <w:sz w:val="20"/>
                <w:szCs w:val="20"/>
              </w:rPr>
              <w:t xml:space="preserve">Directorate </w:t>
            </w:r>
          </w:p>
        </w:tc>
        <w:tc>
          <w:tcPr>
            <w:tcW w:w="839" w:type="dxa"/>
          </w:tcPr>
          <w:p w14:paraId="52148EA6" w14:textId="77777777" w:rsidR="00BF7A9B" w:rsidRPr="00387F7F" w:rsidRDefault="00BF7A9B" w:rsidP="00AF6B01">
            <w:pPr>
              <w:rPr>
                <w:sz w:val="20"/>
                <w:szCs w:val="20"/>
              </w:rPr>
            </w:pPr>
            <w:r w:rsidRPr="00387F7F">
              <w:rPr>
                <w:rFonts w:eastAsia="Arial" w:cs="Arial"/>
                <w:b/>
                <w:bCs/>
                <w:sz w:val="20"/>
                <w:szCs w:val="20"/>
              </w:rPr>
              <w:t>Good is</w:t>
            </w:r>
          </w:p>
        </w:tc>
        <w:tc>
          <w:tcPr>
            <w:tcW w:w="1118" w:type="dxa"/>
            <w:shd w:val="clear" w:color="auto" w:fill="FFFFFF" w:themeFill="background1"/>
          </w:tcPr>
          <w:p w14:paraId="79B15DA1" w14:textId="55C7839E" w:rsidR="00BF7A9B" w:rsidRPr="00387F7F" w:rsidRDefault="00BF7A9B" w:rsidP="00AF6B01">
            <w:pPr>
              <w:rPr>
                <w:sz w:val="20"/>
                <w:szCs w:val="20"/>
              </w:rPr>
            </w:pPr>
            <w:r w:rsidRPr="00387F7F">
              <w:rPr>
                <w:rFonts w:eastAsia="Arial" w:cs="Arial"/>
                <w:b/>
                <w:bCs/>
                <w:sz w:val="20"/>
                <w:szCs w:val="20"/>
              </w:rPr>
              <w:t>201</w:t>
            </w:r>
            <w:r w:rsidR="00F8203E">
              <w:rPr>
                <w:rFonts w:eastAsia="Arial" w:cs="Arial"/>
                <w:b/>
                <w:bCs/>
                <w:sz w:val="20"/>
                <w:szCs w:val="20"/>
              </w:rPr>
              <w:t>7</w:t>
            </w:r>
            <w:r w:rsidRPr="00387F7F">
              <w:rPr>
                <w:rFonts w:eastAsia="Arial" w:cs="Arial"/>
                <w:b/>
                <w:bCs/>
                <w:sz w:val="20"/>
                <w:szCs w:val="20"/>
              </w:rPr>
              <w:t>/1</w:t>
            </w:r>
            <w:r w:rsidR="00F8203E">
              <w:rPr>
                <w:rFonts w:eastAsia="Arial" w:cs="Arial"/>
                <w:b/>
                <w:bCs/>
                <w:sz w:val="20"/>
                <w:szCs w:val="20"/>
              </w:rPr>
              <w:t>8</w:t>
            </w:r>
            <w:r w:rsidRPr="00387F7F">
              <w:rPr>
                <w:rFonts w:eastAsia="Arial" w:cs="Arial"/>
                <w:b/>
                <w:bCs/>
                <w:sz w:val="20"/>
                <w:szCs w:val="20"/>
              </w:rPr>
              <w:t xml:space="preserve"> </w:t>
            </w:r>
          </w:p>
        </w:tc>
        <w:tc>
          <w:tcPr>
            <w:tcW w:w="1541" w:type="dxa"/>
          </w:tcPr>
          <w:p w14:paraId="2461D5D6" w14:textId="5DEE693E" w:rsidR="00BF7A9B" w:rsidRPr="00387F7F" w:rsidRDefault="00BF7A9B" w:rsidP="00AF6B01">
            <w:pPr>
              <w:rPr>
                <w:sz w:val="20"/>
                <w:szCs w:val="20"/>
              </w:rPr>
            </w:pPr>
            <w:r w:rsidRPr="00387F7F">
              <w:rPr>
                <w:rFonts w:eastAsia="Arial" w:cs="Arial"/>
                <w:b/>
                <w:bCs/>
                <w:color w:val="000000" w:themeColor="text1"/>
                <w:sz w:val="20"/>
                <w:szCs w:val="20"/>
              </w:rPr>
              <w:t>201</w:t>
            </w:r>
            <w:r w:rsidR="00F8203E">
              <w:rPr>
                <w:rFonts w:eastAsia="Arial" w:cs="Arial"/>
                <w:b/>
                <w:bCs/>
                <w:color w:val="000000" w:themeColor="text1"/>
                <w:sz w:val="20"/>
                <w:szCs w:val="20"/>
              </w:rPr>
              <w:t>8</w:t>
            </w:r>
            <w:r w:rsidRPr="00387F7F">
              <w:rPr>
                <w:rFonts w:eastAsia="Arial" w:cs="Arial"/>
                <w:b/>
                <w:bCs/>
                <w:color w:val="000000" w:themeColor="text1"/>
                <w:sz w:val="20"/>
                <w:szCs w:val="20"/>
              </w:rPr>
              <w:t>-</w:t>
            </w:r>
            <w:r w:rsidR="00F8203E">
              <w:rPr>
                <w:rFonts w:eastAsia="Arial" w:cs="Arial"/>
                <w:b/>
                <w:bCs/>
                <w:color w:val="000000" w:themeColor="text1"/>
                <w:sz w:val="20"/>
                <w:szCs w:val="20"/>
              </w:rPr>
              <w:t>19</w:t>
            </w:r>
          </w:p>
        </w:tc>
        <w:tc>
          <w:tcPr>
            <w:tcW w:w="1094" w:type="dxa"/>
          </w:tcPr>
          <w:p w14:paraId="58553F65" w14:textId="55F52379" w:rsidR="00BF7A9B" w:rsidRPr="00387F7F" w:rsidRDefault="00BF7A9B" w:rsidP="00AF6B01">
            <w:pPr>
              <w:rPr>
                <w:sz w:val="20"/>
                <w:szCs w:val="20"/>
              </w:rPr>
            </w:pPr>
            <w:r w:rsidRPr="00387F7F">
              <w:rPr>
                <w:rFonts w:eastAsia="Arial" w:cs="Arial"/>
                <w:b/>
                <w:bCs/>
                <w:color w:val="000000" w:themeColor="text1"/>
                <w:sz w:val="20"/>
                <w:szCs w:val="20"/>
              </w:rPr>
              <w:t>20</w:t>
            </w:r>
            <w:r w:rsidR="00F8203E">
              <w:rPr>
                <w:rFonts w:eastAsia="Arial" w:cs="Arial"/>
                <w:b/>
                <w:bCs/>
                <w:color w:val="000000" w:themeColor="text1"/>
                <w:sz w:val="20"/>
                <w:szCs w:val="20"/>
              </w:rPr>
              <w:t>19</w:t>
            </w:r>
            <w:r w:rsidRPr="00387F7F">
              <w:rPr>
                <w:rFonts w:eastAsia="Arial" w:cs="Arial"/>
                <w:b/>
                <w:bCs/>
                <w:color w:val="000000" w:themeColor="text1"/>
                <w:sz w:val="20"/>
                <w:szCs w:val="20"/>
              </w:rPr>
              <w:t>-2</w:t>
            </w:r>
            <w:r w:rsidR="00F8203E">
              <w:rPr>
                <w:rFonts w:eastAsia="Arial" w:cs="Arial"/>
                <w:b/>
                <w:bCs/>
                <w:color w:val="000000" w:themeColor="text1"/>
                <w:sz w:val="20"/>
                <w:szCs w:val="20"/>
              </w:rPr>
              <w:t>0</w:t>
            </w:r>
          </w:p>
        </w:tc>
        <w:tc>
          <w:tcPr>
            <w:tcW w:w="1810" w:type="dxa"/>
            <w:shd w:val="clear" w:color="auto" w:fill="FFFFFF" w:themeFill="background1"/>
          </w:tcPr>
          <w:p w14:paraId="596DD890" w14:textId="7E968B0E" w:rsidR="00BF7A9B" w:rsidRPr="00387F7F" w:rsidRDefault="00BF7A9B" w:rsidP="00AF6B01">
            <w:pPr>
              <w:rPr>
                <w:rFonts w:eastAsia="Arial" w:cs="Arial"/>
                <w:b/>
                <w:bCs/>
                <w:color w:val="000000" w:themeColor="text1"/>
                <w:sz w:val="20"/>
                <w:szCs w:val="20"/>
              </w:rPr>
            </w:pPr>
            <w:r w:rsidRPr="00387F7F">
              <w:rPr>
                <w:rFonts w:eastAsia="Arial" w:cs="Arial"/>
                <w:b/>
                <w:bCs/>
                <w:color w:val="000000" w:themeColor="text1"/>
                <w:sz w:val="20"/>
                <w:szCs w:val="20"/>
              </w:rPr>
              <w:t>202</w:t>
            </w:r>
            <w:r w:rsidR="00F8203E">
              <w:rPr>
                <w:rFonts w:eastAsia="Arial" w:cs="Arial"/>
                <w:b/>
                <w:bCs/>
                <w:color w:val="000000" w:themeColor="text1"/>
                <w:sz w:val="20"/>
                <w:szCs w:val="20"/>
              </w:rPr>
              <w:t>0</w:t>
            </w:r>
            <w:r w:rsidRPr="00387F7F">
              <w:rPr>
                <w:rFonts w:eastAsia="Arial" w:cs="Arial"/>
                <w:b/>
                <w:bCs/>
                <w:color w:val="000000" w:themeColor="text1"/>
                <w:sz w:val="20"/>
                <w:szCs w:val="20"/>
              </w:rPr>
              <w:t>-2</w:t>
            </w:r>
            <w:r w:rsidR="00F8203E">
              <w:rPr>
                <w:rFonts w:eastAsia="Arial" w:cs="Arial"/>
                <w:b/>
                <w:bCs/>
                <w:color w:val="000000" w:themeColor="text1"/>
                <w:sz w:val="20"/>
                <w:szCs w:val="20"/>
              </w:rPr>
              <w:t>1</w:t>
            </w:r>
          </w:p>
        </w:tc>
        <w:tc>
          <w:tcPr>
            <w:tcW w:w="1118" w:type="dxa"/>
          </w:tcPr>
          <w:p w14:paraId="6619E21A" w14:textId="77777777" w:rsidR="00BF7A9B" w:rsidRPr="00387F7F" w:rsidRDefault="00BF7A9B" w:rsidP="00AF6B01">
            <w:pPr>
              <w:rPr>
                <w:sz w:val="20"/>
                <w:szCs w:val="20"/>
              </w:rPr>
            </w:pPr>
            <w:r w:rsidRPr="00387F7F">
              <w:rPr>
                <w:rFonts w:eastAsia="Arial" w:cs="Arial"/>
                <w:b/>
                <w:bCs/>
                <w:sz w:val="20"/>
                <w:szCs w:val="20"/>
              </w:rPr>
              <w:t>2021/22 Target</w:t>
            </w:r>
          </w:p>
        </w:tc>
      </w:tr>
      <w:tr w:rsidR="00067AC3" w14:paraId="3BDEFC5A" w14:textId="77777777" w:rsidTr="00B964A6">
        <w:trPr>
          <w:trHeight w:val="1202"/>
        </w:trPr>
        <w:tc>
          <w:tcPr>
            <w:tcW w:w="3327" w:type="dxa"/>
          </w:tcPr>
          <w:p w14:paraId="5653B666" w14:textId="214899E3" w:rsidR="00067AC3" w:rsidRPr="004329E6" w:rsidRDefault="00067AC3" w:rsidP="00067AC3">
            <w:pPr>
              <w:pStyle w:val="NoSpacing"/>
              <w:rPr>
                <w:rFonts w:ascii="Arial" w:hAnsi="Arial" w:cs="Arial"/>
              </w:rPr>
            </w:pPr>
            <w:r w:rsidRPr="0087783B">
              <w:rPr>
                <w:rFonts w:ascii="Arial" w:hAnsi="Arial" w:cs="Arial"/>
              </w:rPr>
              <w:t>Pupils Average Attainment 8 Score at KS4</w:t>
            </w:r>
          </w:p>
        </w:tc>
        <w:tc>
          <w:tcPr>
            <w:tcW w:w="1398" w:type="dxa"/>
          </w:tcPr>
          <w:p w14:paraId="64894769" w14:textId="77777777" w:rsidR="00067AC3" w:rsidRDefault="00067AC3" w:rsidP="00067AC3">
            <w:r w:rsidRPr="0E9FFDBC">
              <w:rPr>
                <w:rFonts w:eastAsia="Arial" w:cs="Arial"/>
                <w:sz w:val="22"/>
                <w:szCs w:val="22"/>
              </w:rPr>
              <w:t>Annual</w:t>
            </w:r>
          </w:p>
        </w:tc>
        <w:tc>
          <w:tcPr>
            <w:tcW w:w="1531" w:type="dxa"/>
          </w:tcPr>
          <w:p w14:paraId="0185779E" w14:textId="77777777" w:rsidR="00067AC3" w:rsidRDefault="00067AC3" w:rsidP="00067AC3">
            <w:r w:rsidRPr="0E9FFDBC">
              <w:rPr>
                <w:rFonts w:eastAsia="Arial" w:cs="Arial"/>
                <w:sz w:val="22"/>
                <w:szCs w:val="22"/>
              </w:rPr>
              <w:t>Education and Children's Services</w:t>
            </w:r>
          </w:p>
        </w:tc>
        <w:tc>
          <w:tcPr>
            <w:tcW w:w="839" w:type="dxa"/>
          </w:tcPr>
          <w:p w14:paraId="784A8E29" w14:textId="77777777" w:rsidR="00067AC3" w:rsidRDefault="00067AC3" w:rsidP="00067AC3">
            <w:r w:rsidRPr="0E9FFDBC">
              <w:rPr>
                <w:rFonts w:eastAsia="Arial" w:cs="Arial"/>
                <w:sz w:val="22"/>
                <w:szCs w:val="22"/>
              </w:rPr>
              <w:t>High</w:t>
            </w:r>
          </w:p>
        </w:tc>
        <w:tc>
          <w:tcPr>
            <w:tcW w:w="1118" w:type="dxa"/>
            <w:shd w:val="clear" w:color="auto" w:fill="auto"/>
          </w:tcPr>
          <w:p w14:paraId="3547A95F" w14:textId="76E3B755" w:rsidR="00067AC3" w:rsidRP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46.7</w:t>
            </w:r>
            <w:r w:rsidRPr="00067AC3">
              <w:rPr>
                <w:rFonts w:eastAsia="Arial" w:cs="Arial"/>
                <w:color w:val="000000" w:themeColor="text1"/>
                <w:sz w:val="22"/>
                <w:szCs w:val="22"/>
              </w:rPr>
              <w:br/>
            </w:r>
          </w:p>
        </w:tc>
        <w:tc>
          <w:tcPr>
            <w:tcW w:w="1541" w:type="dxa"/>
            <w:shd w:val="clear" w:color="auto" w:fill="auto"/>
          </w:tcPr>
          <w:p w14:paraId="19397DD3" w14:textId="18FD389C" w:rsidR="00067AC3" w:rsidRP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46.7</w:t>
            </w:r>
            <w:r w:rsidRPr="00067AC3">
              <w:rPr>
                <w:rFonts w:eastAsia="Arial" w:cs="Arial"/>
                <w:color w:val="000000" w:themeColor="text1"/>
                <w:sz w:val="22"/>
                <w:szCs w:val="22"/>
              </w:rPr>
              <w:br/>
            </w:r>
          </w:p>
        </w:tc>
        <w:tc>
          <w:tcPr>
            <w:tcW w:w="1094" w:type="dxa"/>
            <w:shd w:val="clear" w:color="auto" w:fill="auto"/>
          </w:tcPr>
          <w:p w14:paraId="4D9CD919" w14:textId="45716E8C" w:rsidR="00067AC3" w:rsidRP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49.7</w:t>
            </w:r>
            <w:r w:rsidRPr="00067AC3">
              <w:rPr>
                <w:rFonts w:eastAsia="Arial" w:cs="Arial"/>
                <w:color w:val="000000" w:themeColor="text1"/>
                <w:sz w:val="22"/>
                <w:szCs w:val="22"/>
              </w:rPr>
              <w:br/>
            </w:r>
          </w:p>
        </w:tc>
        <w:tc>
          <w:tcPr>
            <w:tcW w:w="1810" w:type="dxa"/>
            <w:shd w:val="clear" w:color="auto" w:fill="C5E0B3" w:themeFill="accent6" w:themeFillTint="66"/>
          </w:tcPr>
          <w:p w14:paraId="15417EEF" w14:textId="5359944C" w:rsidR="00067AC3" w:rsidRDefault="001C66A9" w:rsidP="00067AC3">
            <w:r>
              <w:t>50.4</w:t>
            </w:r>
          </w:p>
        </w:tc>
        <w:tc>
          <w:tcPr>
            <w:tcW w:w="1118" w:type="dxa"/>
          </w:tcPr>
          <w:p w14:paraId="0CAF4B0D" w14:textId="56401439" w:rsidR="00067AC3" w:rsidRDefault="00067AC3" w:rsidP="00067AC3">
            <w:r>
              <w:rPr>
                <w:rFonts w:cs="Arial"/>
              </w:rPr>
              <w:t>47.7</w:t>
            </w:r>
          </w:p>
        </w:tc>
      </w:tr>
      <w:tr w:rsidR="00067AC3" w14:paraId="01D5D800" w14:textId="77777777" w:rsidTr="00EB5976">
        <w:trPr>
          <w:trHeight w:val="1028"/>
        </w:trPr>
        <w:tc>
          <w:tcPr>
            <w:tcW w:w="3327" w:type="dxa"/>
          </w:tcPr>
          <w:p w14:paraId="7483DF3C" w14:textId="43810BBF" w:rsidR="00067AC3" w:rsidRPr="004329E6" w:rsidRDefault="00067AC3" w:rsidP="00067AC3">
            <w:pPr>
              <w:pStyle w:val="NoSpacing"/>
              <w:rPr>
                <w:rFonts w:ascii="Arial" w:hAnsi="Arial" w:cs="Arial"/>
              </w:rPr>
            </w:pPr>
            <w:r>
              <w:rPr>
                <w:rFonts w:ascii="Arial" w:hAnsi="Arial" w:cs="Arial"/>
              </w:rPr>
              <w:t>SEND</w:t>
            </w:r>
            <w:r w:rsidRPr="0087783B">
              <w:rPr>
                <w:rFonts w:ascii="Arial" w:hAnsi="Arial" w:cs="Arial"/>
              </w:rPr>
              <w:t xml:space="preserve"> Pupils Average Attainment 8 Score at KS4</w:t>
            </w:r>
          </w:p>
        </w:tc>
        <w:tc>
          <w:tcPr>
            <w:tcW w:w="1398" w:type="dxa"/>
          </w:tcPr>
          <w:p w14:paraId="0217F923" w14:textId="77777777" w:rsidR="00067AC3" w:rsidRDefault="00067AC3" w:rsidP="00067AC3">
            <w:r w:rsidRPr="0E9FFDBC">
              <w:rPr>
                <w:rFonts w:eastAsia="Arial" w:cs="Arial"/>
                <w:sz w:val="22"/>
                <w:szCs w:val="22"/>
              </w:rPr>
              <w:t>Annual</w:t>
            </w:r>
          </w:p>
        </w:tc>
        <w:tc>
          <w:tcPr>
            <w:tcW w:w="1531" w:type="dxa"/>
          </w:tcPr>
          <w:p w14:paraId="6CBD5C66" w14:textId="77777777" w:rsidR="00067AC3" w:rsidRDefault="00067AC3" w:rsidP="00067AC3">
            <w:r w:rsidRPr="0E9FFDBC">
              <w:rPr>
                <w:rFonts w:eastAsia="Arial" w:cs="Arial"/>
                <w:sz w:val="22"/>
                <w:szCs w:val="22"/>
              </w:rPr>
              <w:t>Education and Children's Services</w:t>
            </w:r>
          </w:p>
        </w:tc>
        <w:tc>
          <w:tcPr>
            <w:tcW w:w="839" w:type="dxa"/>
          </w:tcPr>
          <w:p w14:paraId="378EA719" w14:textId="77777777" w:rsidR="00067AC3" w:rsidRDefault="00067AC3" w:rsidP="00067AC3">
            <w:r w:rsidRPr="0E9FFDBC">
              <w:rPr>
                <w:rFonts w:eastAsia="Arial" w:cs="Arial"/>
                <w:sz w:val="22"/>
                <w:szCs w:val="22"/>
              </w:rPr>
              <w:t>High</w:t>
            </w:r>
          </w:p>
        </w:tc>
        <w:tc>
          <w:tcPr>
            <w:tcW w:w="1118" w:type="dxa"/>
            <w:shd w:val="clear" w:color="auto" w:fill="auto"/>
          </w:tcPr>
          <w:p w14:paraId="7069C286" w14:textId="704BCF87" w:rsidR="00067AC3" w:rsidRP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31.8</w:t>
            </w:r>
            <w:r w:rsidRPr="00067AC3">
              <w:rPr>
                <w:rFonts w:eastAsia="Arial" w:cs="Arial"/>
                <w:color w:val="000000" w:themeColor="text1"/>
                <w:sz w:val="22"/>
                <w:szCs w:val="22"/>
              </w:rPr>
              <w:br/>
            </w:r>
          </w:p>
        </w:tc>
        <w:tc>
          <w:tcPr>
            <w:tcW w:w="1541" w:type="dxa"/>
            <w:shd w:val="clear" w:color="auto" w:fill="auto"/>
          </w:tcPr>
          <w:p w14:paraId="7315555D" w14:textId="22BE0ED5" w:rsid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32.5</w:t>
            </w:r>
            <w:r w:rsidRPr="00067AC3">
              <w:rPr>
                <w:rFonts w:eastAsia="Arial" w:cs="Arial"/>
                <w:color w:val="000000" w:themeColor="text1"/>
                <w:sz w:val="22"/>
                <w:szCs w:val="22"/>
              </w:rPr>
              <w:br/>
            </w:r>
          </w:p>
        </w:tc>
        <w:tc>
          <w:tcPr>
            <w:tcW w:w="1094" w:type="dxa"/>
            <w:shd w:val="clear" w:color="auto" w:fill="auto"/>
          </w:tcPr>
          <w:p w14:paraId="7A4F67B8" w14:textId="4FE1C136" w:rsidR="00067AC3" w:rsidRPr="00067AC3" w:rsidRDefault="00067AC3" w:rsidP="00067AC3">
            <w:pPr>
              <w:rPr>
                <w:rFonts w:eastAsia="Arial" w:cs="Arial"/>
                <w:color w:val="000000" w:themeColor="text1"/>
                <w:sz w:val="22"/>
                <w:szCs w:val="22"/>
              </w:rPr>
            </w:pPr>
            <w:r w:rsidRPr="00067AC3">
              <w:rPr>
                <w:rFonts w:eastAsia="Arial" w:cs="Arial"/>
                <w:color w:val="000000" w:themeColor="text1"/>
                <w:sz w:val="22"/>
                <w:szCs w:val="22"/>
              </w:rPr>
              <w:t>36.5</w:t>
            </w:r>
            <w:r w:rsidRPr="00067AC3">
              <w:rPr>
                <w:rFonts w:eastAsia="Arial" w:cs="Arial"/>
                <w:color w:val="000000" w:themeColor="text1"/>
                <w:sz w:val="22"/>
                <w:szCs w:val="22"/>
              </w:rPr>
              <w:br/>
            </w:r>
          </w:p>
        </w:tc>
        <w:tc>
          <w:tcPr>
            <w:tcW w:w="1810" w:type="dxa"/>
            <w:shd w:val="clear" w:color="auto" w:fill="F7CAAC" w:themeFill="accent2" w:themeFillTint="66"/>
          </w:tcPr>
          <w:p w14:paraId="7F2082C1" w14:textId="10738877" w:rsidR="00067AC3" w:rsidRDefault="004C70BD" w:rsidP="00067AC3">
            <w:r>
              <w:t>35.5</w:t>
            </w:r>
          </w:p>
        </w:tc>
        <w:tc>
          <w:tcPr>
            <w:tcW w:w="1118" w:type="dxa"/>
          </w:tcPr>
          <w:p w14:paraId="1D452CD6" w14:textId="1337447F" w:rsidR="00067AC3" w:rsidRDefault="00067AC3" w:rsidP="00067AC3">
            <w:r>
              <w:rPr>
                <w:rFonts w:cs="Arial"/>
              </w:rPr>
              <w:t>32</w:t>
            </w:r>
          </w:p>
        </w:tc>
      </w:tr>
    </w:tbl>
    <w:p w14:paraId="4019FDE4" w14:textId="77777777" w:rsidR="00BF7A9B" w:rsidRPr="00FB4593" w:rsidRDefault="00BF7A9B" w:rsidP="00090583">
      <w:pPr>
        <w:pStyle w:val="NoSpacing"/>
        <w:rPr>
          <w:rFonts w:ascii="Arial" w:hAnsi="Arial" w:cs="Arial"/>
          <w:color w:val="000000" w:themeColor="text1"/>
          <w:sz w:val="24"/>
          <w:szCs w:val="24"/>
        </w:rPr>
      </w:pPr>
    </w:p>
    <w:p w14:paraId="447A544A" w14:textId="010A9D82" w:rsidR="005B7280" w:rsidRPr="009665FF" w:rsidRDefault="005B7280" w:rsidP="005B7280">
      <w:pPr>
        <w:pStyle w:val="NoSpacing"/>
        <w:jc w:val="both"/>
        <w:rPr>
          <w:rFonts w:ascii="Arial" w:hAnsi="Arial" w:cs="Arial"/>
          <w:sz w:val="24"/>
          <w:szCs w:val="24"/>
        </w:rPr>
      </w:pPr>
      <w:r w:rsidRPr="009665FF">
        <w:rPr>
          <w:rFonts w:ascii="Arial" w:hAnsi="Arial" w:cs="Arial"/>
          <w:b/>
          <w:sz w:val="24"/>
          <w:szCs w:val="24"/>
        </w:rPr>
        <w:t>Key Stage 4 (KS4)</w:t>
      </w:r>
      <w:r w:rsidRPr="009665FF">
        <w:rPr>
          <w:rFonts w:ascii="Arial" w:hAnsi="Arial" w:cs="Arial"/>
          <w:sz w:val="24"/>
          <w:szCs w:val="24"/>
        </w:rPr>
        <w:t>.</w:t>
      </w:r>
      <w:r w:rsidRPr="009665FF">
        <w:rPr>
          <w:rFonts w:ascii="Arial" w:hAnsi="Arial" w:cs="Arial"/>
          <w:b/>
          <w:sz w:val="24"/>
          <w:szCs w:val="24"/>
        </w:rPr>
        <w:t xml:space="preserve"> </w:t>
      </w:r>
      <w:r w:rsidRPr="009665FF">
        <w:rPr>
          <w:rFonts w:ascii="Arial" w:hAnsi="Arial" w:cs="Arial"/>
          <w:sz w:val="24"/>
          <w:szCs w:val="24"/>
        </w:rPr>
        <w:t>Due to the Covid-19 pandemic, the summer exam series was cancelled in 202</w:t>
      </w:r>
      <w:r w:rsidR="005247F1" w:rsidRPr="009665FF">
        <w:rPr>
          <w:rFonts w:ascii="Arial" w:hAnsi="Arial" w:cs="Arial"/>
          <w:sz w:val="24"/>
          <w:szCs w:val="24"/>
        </w:rPr>
        <w:t>1</w:t>
      </w:r>
      <w:r w:rsidRPr="009665FF">
        <w:rPr>
          <w:rFonts w:ascii="Arial" w:hAnsi="Arial" w:cs="Arial"/>
          <w:sz w:val="24"/>
          <w:szCs w:val="24"/>
        </w:rPr>
        <w:t xml:space="preserve">. </w:t>
      </w:r>
      <w:r w:rsidR="00E24383" w:rsidRPr="009665FF">
        <w:rPr>
          <w:rFonts w:ascii="Arial" w:hAnsi="Arial" w:cs="Arial"/>
          <w:sz w:val="24"/>
          <w:szCs w:val="24"/>
        </w:rPr>
        <w:t>GCSE grades were then determined by teachers based on the range of evidence available and they are referred to as teacher-assessed grades, or TAGs.</w:t>
      </w:r>
      <w:r w:rsidR="00E24383" w:rsidRPr="009665FF">
        <w:rPr>
          <w:i/>
          <w:iCs/>
          <w:sz w:val="24"/>
          <w:szCs w:val="24"/>
        </w:rPr>
        <w:t xml:space="preserve"> </w:t>
      </w:r>
      <w:r w:rsidR="00E46180" w:rsidRPr="009665FF">
        <w:rPr>
          <w:rFonts w:ascii="Arial" w:hAnsi="Arial" w:cs="Arial"/>
          <w:sz w:val="24"/>
          <w:szCs w:val="24"/>
        </w:rPr>
        <w:t>This is a different process to that of 2019/20</w:t>
      </w:r>
      <w:r w:rsidR="00E46180" w:rsidRPr="009665FF">
        <w:rPr>
          <w:i/>
          <w:iCs/>
          <w:sz w:val="24"/>
          <w:szCs w:val="24"/>
        </w:rPr>
        <w:t xml:space="preserve"> </w:t>
      </w:r>
      <w:r w:rsidRPr="009665FF">
        <w:rPr>
          <w:rFonts w:ascii="Arial" w:hAnsi="Arial" w:cs="Arial"/>
          <w:sz w:val="24"/>
          <w:szCs w:val="24"/>
        </w:rPr>
        <w:t>w</w:t>
      </w:r>
      <w:r w:rsidR="00305C06" w:rsidRPr="009665FF">
        <w:rPr>
          <w:rFonts w:ascii="Arial" w:hAnsi="Arial" w:cs="Arial"/>
          <w:sz w:val="24"/>
          <w:szCs w:val="24"/>
        </w:rPr>
        <w:t>h</w:t>
      </w:r>
      <w:r w:rsidRPr="009665FF">
        <w:rPr>
          <w:rFonts w:ascii="Arial" w:hAnsi="Arial" w:cs="Arial"/>
          <w:sz w:val="24"/>
          <w:szCs w:val="24"/>
        </w:rPr>
        <w:t>ere</w:t>
      </w:r>
      <w:r w:rsidR="00305C06" w:rsidRPr="009665FF">
        <w:rPr>
          <w:rFonts w:ascii="Arial" w:hAnsi="Arial" w:cs="Arial"/>
          <w:sz w:val="24"/>
          <w:szCs w:val="24"/>
        </w:rPr>
        <w:t xml:space="preserve"> pupils</w:t>
      </w:r>
      <w:r w:rsidRPr="009665FF">
        <w:rPr>
          <w:rFonts w:ascii="Arial" w:hAnsi="Arial" w:cs="Arial"/>
          <w:sz w:val="24"/>
          <w:szCs w:val="24"/>
        </w:rPr>
        <w:t xml:space="preserve"> awarded either a centre assessment grade</w:t>
      </w:r>
      <w:r w:rsidR="00E46180" w:rsidRPr="009665FF">
        <w:rPr>
          <w:rFonts w:ascii="Arial" w:hAnsi="Arial" w:cs="Arial"/>
          <w:sz w:val="24"/>
          <w:szCs w:val="24"/>
        </w:rPr>
        <w:t>, or CAGs</w:t>
      </w:r>
      <w:r w:rsidRPr="009665FF">
        <w:rPr>
          <w:rFonts w:ascii="Arial" w:hAnsi="Arial" w:cs="Arial"/>
          <w:sz w:val="24"/>
          <w:szCs w:val="24"/>
        </w:rPr>
        <w:t xml:space="preserve"> (based on what the school or college believed the student would most likely have achieved had exams gone ahead) or their calculated grade using a model developed by Ofqual - whichever was the higher of the two.</w:t>
      </w:r>
    </w:p>
    <w:p w14:paraId="24008103" w14:textId="77777777" w:rsidR="005B7280" w:rsidRDefault="005B7280" w:rsidP="005B7280">
      <w:pPr>
        <w:pStyle w:val="NoSpacing"/>
        <w:jc w:val="both"/>
        <w:rPr>
          <w:rFonts w:ascii="Arial" w:hAnsi="Arial" w:cs="Arial"/>
        </w:rPr>
      </w:pPr>
    </w:p>
    <w:p w14:paraId="426219AB" w14:textId="5EB3DA11" w:rsidR="005B7280" w:rsidRPr="00790923" w:rsidRDefault="005B7280" w:rsidP="00F473E6">
      <w:pPr>
        <w:tabs>
          <w:tab w:val="left" w:pos="741"/>
        </w:tabs>
        <w:rPr>
          <w:rFonts w:cs="Arial"/>
        </w:rPr>
      </w:pPr>
      <w:r w:rsidRPr="00F714FC">
        <w:rPr>
          <w:rFonts w:cs="Arial"/>
          <w:b/>
        </w:rPr>
        <w:t>The DfE advise to be cautious when comparing headline measures between years.</w:t>
      </w:r>
      <w:r>
        <w:rPr>
          <w:rFonts w:cs="Arial"/>
        </w:rPr>
        <w:t xml:space="preserve"> </w:t>
      </w:r>
      <w:r w:rsidR="00F473E6" w:rsidRPr="00790923">
        <w:rPr>
          <w:rFonts w:cs="Arial"/>
          <w:color w:val="auto"/>
        </w:rPr>
        <w:t>The changes to the way GCSE grades have been awarded over the last two years (with CAGs and TAGs replacing exams) mean 2020/21 pupil attainment data should not be directly compared to pupil attainment data from previous years for the purposes of measuring year on year changes in pupil performance.</w:t>
      </w:r>
      <w:r w:rsidR="00DF4A1E" w:rsidRPr="00790923">
        <w:rPr>
          <w:rFonts w:cs="Arial"/>
          <w:color w:val="auto"/>
        </w:rPr>
        <w:t xml:space="preserve"> </w:t>
      </w:r>
      <w:r w:rsidRPr="00790923">
        <w:rPr>
          <w:rFonts w:cs="Arial"/>
        </w:rPr>
        <w:t xml:space="preserve">The DfE have decided it is not appropriate to publish </w:t>
      </w:r>
      <w:r w:rsidR="00AC1138">
        <w:rPr>
          <w:rFonts w:cs="Arial"/>
        </w:rPr>
        <w:t xml:space="preserve">the </w:t>
      </w:r>
      <w:r w:rsidRPr="00790923">
        <w:rPr>
          <w:rFonts w:cs="Arial"/>
        </w:rPr>
        <w:t xml:space="preserve">progress 8 indicator. </w:t>
      </w:r>
    </w:p>
    <w:p w14:paraId="3DB70794" w14:textId="77777777" w:rsidR="00C76F98" w:rsidRDefault="00C76F98" w:rsidP="005B7280">
      <w:pPr>
        <w:pStyle w:val="NoSpacing"/>
        <w:jc w:val="both"/>
        <w:rPr>
          <w:rFonts w:ascii="Arial" w:hAnsi="Arial" w:cs="Arial"/>
        </w:rPr>
      </w:pPr>
    </w:p>
    <w:p w14:paraId="37C0BCEE" w14:textId="6FB3244D" w:rsidR="005B7280" w:rsidRPr="00845A93" w:rsidRDefault="005B7280" w:rsidP="005B7280">
      <w:pPr>
        <w:pStyle w:val="NoSpacing"/>
        <w:jc w:val="both"/>
        <w:rPr>
          <w:rFonts w:ascii="Arial" w:hAnsi="Arial" w:cs="Arial"/>
          <w:sz w:val="24"/>
          <w:szCs w:val="24"/>
        </w:rPr>
      </w:pPr>
      <w:r w:rsidRPr="00D9156C">
        <w:rPr>
          <w:rFonts w:ascii="Arial" w:hAnsi="Arial" w:cs="Arial"/>
          <w:sz w:val="24"/>
          <w:szCs w:val="24"/>
        </w:rPr>
        <w:t>Recent data published by the Department for Education (DfE) for the period 20</w:t>
      </w:r>
      <w:r w:rsidR="00F473E6" w:rsidRPr="00D9156C">
        <w:rPr>
          <w:rFonts w:ascii="Arial" w:hAnsi="Arial" w:cs="Arial"/>
          <w:sz w:val="24"/>
          <w:szCs w:val="24"/>
        </w:rPr>
        <w:t>20</w:t>
      </w:r>
      <w:r w:rsidRPr="00D9156C">
        <w:rPr>
          <w:rFonts w:ascii="Arial" w:hAnsi="Arial" w:cs="Arial"/>
          <w:sz w:val="24"/>
          <w:szCs w:val="24"/>
        </w:rPr>
        <w:t>/2</w:t>
      </w:r>
      <w:r w:rsidR="00F473E6" w:rsidRPr="00D9156C">
        <w:rPr>
          <w:rFonts w:ascii="Arial" w:hAnsi="Arial" w:cs="Arial"/>
          <w:sz w:val="24"/>
          <w:szCs w:val="24"/>
        </w:rPr>
        <w:t>1</w:t>
      </w:r>
      <w:r w:rsidRPr="00D9156C">
        <w:rPr>
          <w:rFonts w:ascii="Arial" w:hAnsi="Arial" w:cs="Arial"/>
          <w:sz w:val="24"/>
          <w:szCs w:val="24"/>
        </w:rPr>
        <w:t xml:space="preserve"> suggests pupils</w:t>
      </w:r>
      <w:r w:rsidR="00AC1138">
        <w:rPr>
          <w:rFonts w:ascii="Arial" w:hAnsi="Arial" w:cs="Arial"/>
          <w:sz w:val="24"/>
          <w:szCs w:val="24"/>
        </w:rPr>
        <w:t>'</w:t>
      </w:r>
      <w:r w:rsidRPr="00D9156C">
        <w:rPr>
          <w:rFonts w:ascii="Arial" w:hAnsi="Arial" w:cs="Arial"/>
          <w:sz w:val="24"/>
          <w:szCs w:val="24"/>
        </w:rPr>
        <w:t xml:space="preserve"> Average Attainment 8 Score at KS4 is </w:t>
      </w:r>
      <w:r w:rsidR="00EF5C73" w:rsidRPr="00D9156C">
        <w:rPr>
          <w:rFonts w:ascii="Arial" w:hAnsi="Arial" w:cs="Arial"/>
          <w:sz w:val="24"/>
          <w:szCs w:val="24"/>
        </w:rPr>
        <w:t>50</w:t>
      </w:r>
      <w:r w:rsidRPr="00D9156C">
        <w:rPr>
          <w:rFonts w:ascii="Arial" w:hAnsi="Arial" w:cs="Arial"/>
          <w:sz w:val="24"/>
          <w:szCs w:val="24"/>
        </w:rPr>
        <w:t>.</w:t>
      </w:r>
      <w:r w:rsidR="00EF5C73" w:rsidRPr="00D9156C">
        <w:rPr>
          <w:rFonts w:ascii="Arial" w:hAnsi="Arial" w:cs="Arial"/>
          <w:sz w:val="24"/>
          <w:szCs w:val="24"/>
        </w:rPr>
        <w:t>4</w:t>
      </w:r>
      <w:r w:rsidRPr="00D9156C">
        <w:rPr>
          <w:rFonts w:ascii="Arial" w:hAnsi="Arial" w:cs="Arial"/>
          <w:sz w:val="24"/>
          <w:szCs w:val="24"/>
        </w:rPr>
        <w:t xml:space="preserve">. The Lancashire average remains </w:t>
      </w:r>
      <w:r w:rsidR="00EF5C73" w:rsidRPr="00D9156C">
        <w:rPr>
          <w:rFonts w:ascii="Arial" w:hAnsi="Arial" w:cs="Arial"/>
          <w:sz w:val="24"/>
          <w:szCs w:val="24"/>
        </w:rPr>
        <w:t>higher</w:t>
      </w:r>
      <w:r w:rsidRPr="00D9156C">
        <w:rPr>
          <w:rFonts w:ascii="Arial" w:hAnsi="Arial" w:cs="Arial"/>
          <w:sz w:val="24"/>
          <w:szCs w:val="24"/>
        </w:rPr>
        <w:t xml:space="preserve"> compared to the national (</w:t>
      </w:r>
      <w:r w:rsidR="00E019AA" w:rsidRPr="00D9156C">
        <w:rPr>
          <w:rFonts w:ascii="Arial" w:hAnsi="Arial" w:cs="Arial"/>
          <w:sz w:val="24"/>
          <w:szCs w:val="24"/>
        </w:rPr>
        <w:t>48.9</w:t>
      </w:r>
      <w:r w:rsidRPr="00D9156C">
        <w:rPr>
          <w:rFonts w:ascii="Arial" w:hAnsi="Arial" w:cs="Arial"/>
          <w:sz w:val="24"/>
          <w:szCs w:val="24"/>
        </w:rPr>
        <w:t>) and higher than the regional (49.</w:t>
      </w:r>
      <w:r w:rsidR="00E019AA" w:rsidRPr="00D9156C">
        <w:rPr>
          <w:rFonts w:ascii="Arial" w:hAnsi="Arial" w:cs="Arial"/>
          <w:sz w:val="24"/>
          <w:szCs w:val="24"/>
        </w:rPr>
        <w:t>6</w:t>
      </w:r>
      <w:r w:rsidRPr="00D9156C">
        <w:rPr>
          <w:rFonts w:ascii="Arial" w:hAnsi="Arial" w:cs="Arial"/>
          <w:sz w:val="24"/>
          <w:szCs w:val="24"/>
        </w:rPr>
        <w:t>) state school averages. Lancashire is positioned in the 3rd quartile nationally against this indicator and ranked 7</w:t>
      </w:r>
      <w:r w:rsidR="00E019AA" w:rsidRPr="00D9156C">
        <w:rPr>
          <w:rFonts w:ascii="Arial" w:hAnsi="Arial" w:cs="Arial"/>
          <w:sz w:val="24"/>
          <w:szCs w:val="24"/>
        </w:rPr>
        <w:t>6</w:t>
      </w:r>
      <w:r w:rsidRPr="00D9156C">
        <w:rPr>
          <w:rFonts w:ascii="Arial" w:hAnsi="Arial" w:cs="Arial"/>
          <w:sz w:val="24"/>
          <w:szCs w:val="24"/>
        </w:rPr>
        <w:t xml:space="preserve"> of 150. The latest performance is well above the target set for 2020/21 (47.7). </w:t>
      </w:r>
      <w:r w:rsidR="00A92DFA">
        <w:rPr>
          <w:rFonts w:ascii="Arial" w:hAnsi="Arial" w:cs="Arial"/>
          <w:sz w:val="24"/>
          <w:szCs w:val="24"/>
        </w:rPr>
        <w:t xml:space="preserve"> </w:t>
      </w:r>
      <w:r w:rsidRPr="00845A93">
        <w:rPr>
          <w:rFonts w:ascii="Arial" w:hAnsi="Arial" w:cs="Arial"/>
          <w:sz w:val="24"/>
          <w:szCs w:val="24"/>
        </w:rPr>
        <w:t>The SEND pupils</w:t>
      </w:r>
      <w:r w:rsidR="002B59B6">
        <w:rPr>
          <w:rFonts w:ascii="Arial" w:hAnsi="Arial" w:cs="Arial"/>
          <w:sz w:val="24"/>
          <w:szCs w:val="24"/>
        </w:rPr>
        <w:t>'</w:t>
      </w:r>
      <w:r w:rsidRPr="00845A93">
        <w:rPr>
          <w:rFonts w:ascii="Arial" w:hAnsi="Arial" w:cs="Arial"/>
          <w:sz w:val="24"/>
          <w:szCs w:val="24"/>
        </w:rPr>
        <w:t xml:space="preserve"> Average Attainment 8 Score at KS4 is 3</w:t>
      </w:r>
      <w:r w:rsidR="001F1FB0" w:rsidRPr="00845A93">
        <w:rPr>
          <w:rFonts w:ascii="Arial" w:hAnsi="Arial" w:cs="Arial"/>
          <w:sz w:val="24"/>
          <w:szCs w:val="24"/>
        </w:rPr>
        <w:t>5.5</w:t>
      </w:r>
      <w:r w:rsidRPr="00845A93">
        <w:rPr>
          <w:rFonts w:ascii="Arial" w:hAnsi="Arial" w:cs="Arial"/>
          <w:sz w:val="24"/>
          <w:szCs w:val="24"/>
        </w:rPr>
        <w:t xml:space="preserve">. The Lancashire average is </w:t>
      </w:r>
      <w:r w:rsidR="001F1FB0" w:rsidRPr="00845A93">
        <w:rPr>
          <w:rFonts w:ascii="Arial" w:hAnsi="Arial" w:cs="Arial"/>
          <w:sz w:val="24"/>
          <w:szCs w:val="24"/>
        </w:rPr>
        <w:t>lower</w:t>
      </w:r>
      <w:r w:rsidRPr="00845A93">
        <w:rPr>
          <w:rFonts w:ascii="Arial" w:hAnsi="Arial" w:cs="Arial"/>
          <w:sz w:val="24"/>
          <w:szCs w:val="24"/>
        </w:rPr>
        <w:t xml:space="preserve"> than the national (36.</w:t>
      </w:r>
      <w:r w:rsidR="001F1FB0" w:rsidRPr="00845A93">
        <w:rPr>
          <w:rFonts w:ascii="Arial" w:hAnsi="Arial" w:cs="Arial"/>
          <w:sz w:val="24"/>
          <w:szCs w:val="24"/>
        </w:rPr>
        <w:t>7</w:t>
      </w:r>
      <w:r w:rsidRPr="00845A93">
        <w:rPr>
          <w:rFonts w:ascii="Arial" w:hAnsi="Arial" w:cs="Arial"/>
          <w:sz w:val="24"/>
          <w:szCs w:val="24"/>
        </w:rPr>
        <w:t>) and regional (35.</w:t>
      </w:r>
      <w:r w:rsidR="00E26B2A" w:rsidRPr="00845A93">
        <w:rPr>
          <w:rFonts w:ascii="Arial" w:hAnsi="Arial" w:cs="Arial"/>
          <w:sz w:val="24"/>
          <w:szCs w:val="24"/>
        </w:rPr>
        <w:t>8</w:t>
      </w:r>
      <w:r w:rsidRPr="00845A93">
        <w:rPr>
          <w:rFonts w:ascii="Arial" w:hAnsi="Arial" w:cs="Arial"/>
          <w:sz w:val="24"/>
          <w:szCs w:val="24"/>
        </w:rPr>
        <w:t xml:space="preserve">) averages. Lancashire is positioned in the </w:t>
      </w:r>
      <w:r w:rsidR="00E26B2A" w:rsidRPr="00845A93">
        <w:rPr>
          <w:rFonts w:ascii="Arial" w:hAnsi="Arial" w:cs="Arial"/>
          <w:sz w:val="24"/>
          <w:szCs w:val="24"/>
        </w:rPr>
        <w:t>3rd</w:t>
      </w:r>
      <w:r w:rsidRPr="00845A93">
        <w:rPr>
          <w:rFonts w:ascii="Arial" w:hAnsi="Arial" w:cs="Arial"/>
          <w:sz w:val="24"/>
          <w:szCs w:val="24"/>
        </w:rPr>
        <w:t xml:space="preserve"> quartile nationally against this indicator and ranked </w:t>
      </w:r>
      <w:r w:rsidR="00E26B2A" w:rsidRPr="00845A93">
        <w:rPr>
          <w:rFonts w:ascii="Arial" w:hAnsi="Arial" w:cs="Arial"/>
          <w:sz w:val="24"/>
          <w:szCs w:val="24"/>
        </w:rPr>
        <w:t>91</w:t>
      </w:r>
      <w:r w:rsidRPr="00845A93">
        <w:rPr>
          <w:rFonts w:ascii="Arial" w:hAnsi="Arial" w:cs="Arial"/>
          <w:sz w:val="24"/>
          <w:szCs w:val="24"/>
        </w:rPr>
        <w:t xml:space="preserve"> of all Local Authorities. The latest figure is above the target of 32 set for 2020/21.</w:t>
      </w:r>
    </w:p>
    <w:p w14:paraId="12D5A686" w14:textId="77777777" w:rsidR="00021C7C" w:rsidRDefault="00021C7C" w:rsidP="005B7280">
      <w:pPr>
        <w:pStyle w:val="NoSpacing"/>
        <w:jc w:val="both"/>
        <w:rPr>
          <w:rFonts w:ascii="Arial" w:hAnsi="Arial" w:cs="Arial"/>
          <w:sz w:val="24"/>
          <w:szCs w:val="24"/>
        </w:rPr>
      </w:pPr>
    </w:p>
    <w:p w14:paraId="37014673" w14:textId="48176891" w:rsidR="00021C7C" w:rsidRPr="00845A93" w:rsidRDefault="00021C7C" w:rsidP="00021C7C">
      <w:pPr>
        <w:pStyle w:val="NoSpacing"/>
        <w:rPr>
          <w:rFonts w:ascii="Arial" w:hAnsi="Arial" w:cs="Arial"/>
          <w:sz w:val="24"/>
          <w:szCs w:val="24"/>
        </w:rPr>
      </w:pPr>
      <w:r w:rsidRPr="00021C7C">
        <w:rPr>
          <w:rFonts w:ascii="Arial" w:hAnsi="Arial" w:cs="Arial"/>
          <w:sz w:val="24"/>
          <w:szCs w:val="24"/>
        </w:rPr>
        <w:t>Lancashire has much to celebrate in terms of educational outcomes. Year on year, at all age phases, Lancashire performs in line with national comparators. This means that most children do well academically in Lancashire schools and settings.</w:t>
      </w:r>
      <w:r w:rsidR="006C550E">
        <w:rPr>
          <w:rFonts w:ascii="Arial" w:hAnsi="Arial" w:cs="Arial"/>
          <w:sz w:val="24"/>
          <w:szCs w:val="24"/>
        </w:rPr>
        <w:t xml:space="preserve"> </w:t>
      </w:r>
      <w:r w:rsidRPr="00021C7C">
        <w:rPr>
          <w:rFonts w:ascii="Arial" w:hAnsi="Arial" w:cs="Arial"/>
          <w:sz w:val="24"/>
          <w:szCs w:val="24"/>
        </w:rPr>
        <w:t>However, our aspiration is high for all children and young people, regardless of their starting point and, as a large and diverse county, we acknowledge that some children do much better than others. This difference in experience underpins the purpose of the Lancashire Education Strategy 2022-2025 that was agreed by Cabinet in December 2021 and is articulated clearly within the Children and Young People's Strategic Board vision where the emphasis is on 'All children achieving their full potential'.</w:t>
      </w:r>
      <w:r w:rsidR="00A92DFA">
        <w:rPr>
          <w:rFonts w:ascii="Arial" w:hAnsi="Arial" w:cs="Arial"/>
          <w:sz w:val="24"/>
          <w:szCs w:val="24"/>
        </w:rPr>
        <w:t xml:space="preserve"> </w:t>
      </w:r>
      <w:r w:rsidRPr="00021C7C">
        <w:rPr>
          <w:rFonts w:ascii="Arial" w:hAnsi="Arial" w:cs="Arial"/>
          <w:sz w:val="24"/>
          <w:szCs w:val="24"/>
        </w:rPr>
        <w:t>A key objective of the Education Strategy is to support integration across services so that barriers to learning can be overcome. This will be realised through the implementation of the Team around the School and Settings model, that will facilitate a partnership response to persistent issues that are preventing children and young people from achieving their full potential.</w:t>
      </w:r>
    </w:p>
    <w:p w14:paraId="19A5A7C2" w14:textId="781CD7A4" w:rsidR="00090583" w:rsidRDefault="00090583" w:rsidP="00090583">
      <w:pPr>
        <w:pStyle w:val="NoSpacing"/>
        <w:rPr>
          <w:rFonts w:ascii="Arial" w:hAnsi="Arial" w:cs="Arial"/>
          <w:color w:val="000000"/>
          <w:sz w:val="24"/>
          <w:szCs w:val="24"/>
        </w:rPr>
      </w:pPr>
    </w:p>
    <w:p w14:paraId="55743A8A" w14:textId="2E1FC764" w:rsidR="00023D1D" w:rsidRPr="00C01A4B" w:rsidRDefault="00023D1D" w:rsidP="00023D1D">
      <w:r>
        <w:t xml:space="preserve">Education Improvement strives to continually </w:t>
      </w:r>
      <w:r w:rsidR="00411B53">
        <w:t>drive-up</w:t>
      </w:r>
      <w:r>
        <w:t xml:space="preserve"> performance within our secondary schools. The authority does this by offering high quality training, development and support to engage schools and governing bodies on areas of development such as outcomes for those with SEND, which, as seen in the data, is lower than regional and national data. The extensive offer for secondary schools includes the School Service Guarantee where schools are allocated a secondary advisor, Senior Leadership Briefings, bespoke / subject specialist consultancy work, promotion of networks and school-to-school support, as well as continued support from Lancashire officers.</w:t>
      </w:r>
      <w:r w:rsidR="00076F18">
        <w:t xml:space="preserve"> </w:t>
      </w:r>
      <w:r w:rsidR="00AC7CFB">
        <w:t xml:space="preserve">Furthermore, </w:t>
      </w:r>
      <w:r w:rsidR="00893892" w:rsidRPr="00C01A4B">
        <w:t>w</w:t>
      </w:r>
      <w:r w:rsidRPr="00C01A4B">
        <w:t>here a school is at risk of being downgraded at inspection, following discussion between the school adviser, the headteacher and team leader, the school is placed on the LA List of Schools that Require Improvement.  Additional bespoke support is provided by one of the advisers from the Monitoring and Intervention Team (MIT).</w:t>
      </w:r>
      <w:r w:rsidR="00F11DE1">
        <w:t xml:space="preserve"> </w:t>
      </w:r>
      <w:r w:rsidRPr="00C01A4B">
        <w:t>The DFE Trust and School Improvement funding is also used to provide additional support for schools that Ofsted have judged to require improvement.</w:t>
      </w:r>
    </w:p>
    <w:p w14:paraId="21A82727" w14:textId="34C6A94C" w:rsidR="00023D1D" w:rsidRDefault="00023D1D" w:rsidP="00023D1D">
      <w:r w:rsidRPr="00C01A4B">
        <w:t>Governor Services support those schools identified as having weaker governance, including signposting Lancashire's high quality training offer and consideration of strengthening the board with additional members. There is also a Chair of Governor mentoring offer as well as the development of Lancashire Leaders of Governance, who can provide an external review of governance.</w:t>
      </w:r>
    </w:p>
    <w:p w14:paraId="6B189EAB" w14:textId="38BEC636" w:rsidR="009670D9" w:rsidRDefault="00023D1D" w:rsidP="00090583">
      <w:r>
        <w:t>Throughout the pandemic, our Education Partnership Officers have been able to provide schools with support and guidance around Covid-19 in an extremely fast paced environment, responding in an agile way and enabling schools to continue work around school improvement.</w:t>
      </w:r>
    </w:p>
    <w:p w14:paraId="2E6E920E" w14:textId="77777777" w:rsidR="009C5819" w:rsidRPr="009C5819" w:rsidRDefault="009C5819" w:rsidP="00090583"/>
    <w:p w14:paraId="0E642DDA" w14:textId="4980BEC7" w:rsidR="00090583" w:rsidRPr="003D467B" w:rsidRDefault="00090583" w:rsidP="00090583">
      <w:pPr>
        <w:rPr>
          <w:rFonts w:eastAsia="Arial" w:cs="Arial"/>
          <w:color w:val="000000" w:themeColor="text1"/>
        </w:rPr>
      </w:pPr>
      <w:r w:rsidRPr="003D467B">
        <w:rPr>
          <w:rFonts w:eastAsia="Arial" w:cs="Arial"/>
          <w:b/>
          <w:bCs/>
          <w:color w:val="000000" w:themeColor="text1"/>
        </w:rPr>
        <w:t>School placements</w:t>
      </w:r>
      <w:r w:rsidRPr="003D467B">
        <w:rPr>
          <w:rFonts w:eastAsia="Arial" w:cs="Arial"/>
          <w:color w:val="000000" w:themeColor="text1"/>
        </w:rPr>
        <w:t>. Above target figures report to previous Committee</w:t>
      </w:r>
      <w:r w:rsidR="00A50285">
        <w:rPr>
          <w:rFonts w:eastAsia="Arial" w:cs="Arial"/>
          <w:color w:val="000000" w:themeColor="text1"/>
        </w:rPr>
        <w:t xml:space="preserve"> meeting</w:t>
      </w:r>
      <w:r w:rsidRPr="003D467B">
        <w:rPr>
          <w:rFonts w:eastAsia="Arial" w:cs="Arial"/>
          <w:color w:val="000000" w:themeColor="text1"/>
        </w:rPr>
        <w:t>.  2022/23 admissions figures will be published mid</w:t>
      </w:r>
      <w:r w:rsidR="00842192" w:rsidRPr="003D467B">
        <w:rPr>
          <w:rFonts w:eastAsia="Arial" w:cs="Arial"/>
          <w:color w:val="000000" w:themeColor="text1"/>
        </w:rPr>
        <w:t>-</w:t>
      </w:r>
      <w:r w:rsidRPr="003D467B">
        <w:rPr>
          <w:rFonts w:eastAsia="Arial" w:cs="Arial"/>
          <w:color w:val="000000" w:themeColor="text1"/>
        </w:rPr>
        <w:t>2022.</w:t>
      </w:r>
    </w:p>
    <w:p w14:paraId="665D62D7" w14:textId="489B13E6" w:rsidR="00097217" w:rsidRPr="003D467B" w:rsidRDefault="00090583" w:rsidP="00090583">
      <w:pPr>
        <w:pStyle w:val="NoSpacing"/>
        <w:jc w:val="both"/>
        <w:rPr>
          <w:rFonts w:ascii="Arial" w:eastAsia="Arial" w:hAnsi="Arial" w:cs="Arial"/>
          <w:sz w:val="24"/>
          <w:szCs w:val="24"/>
          <w:highlight w:val="yellow"/>
        </w:rPr>
      </w:pPr>
      <w:r w:rsidRPr="003D467B">
        <w:rPr>
          <w:rFonts w:eastAsia="Arial" w:cs="Arial"/>
          <w:b/>
          <w:bCs/>
          <w:color w:val="000000" w:themeColor="text1"/>
        </w:rPr>
        <w:lastRenderedPageBreak/>
        <w:t>Exclusions.</w:t>
      </w:r>
      <w:r w:rsidRPr="003D467B">
        <w:rPr>
          <w:rFonts w:eastAsia="Arial" w:cs="Arial"/>
          <w:color w:val="000000" w:themeColor="text1"/>
        </w:rPr>
        <w:t xml:space="preserve"> </w:t>
      </w:r>
      <w:r w:rsidR="00A50285">
        <w:rPr>
          <w:rFonts w:eastAsia="Arial" w:cs="Arial"/>
          <w:color w:val="000000" w:themeColor="text1"/>
        </w:rPr>
        <w:t>On</w:t>
      </w:r>
      <w:r w:rsidR="00A50285" w:rsidRPr="00A50285">
        <w:rPr>
          <w:rFonts w:eastAsia="Arial" w:cs="Arial"/>
          <w:color w:val="000000" w:themeColor="text1"/>
        </w:rPr>
        <w:t xml:space="preserve"> target figures report to previous Committee meeting</w:t>
      </w:r>
      <w:r w:rsidRPr="003D467B">
        <w:rPr>
          <w:rFonts w:eastAsia="Arial" w:cs="Arial"/>
          <w:color w:val="000000" w:themeColor="text1"/>
        </w:rPr>
        <w:t xml:space="preserve"> 2020/21 exclusion figures will be published July 2022</w:t>
      </w:r>
    </w:p>
    <w:tbl>
      <w:tblPr>
        <w:tblW w:w="14026" w:type="dxa"/>
        <w:tblLayout w:type="fixed"/>
        <w:tblLook w:val="04A0" w:firstRow="1" w:lastRow="0" w:firstColumn="1" w:lastColumn="0" w:noHBand="0" w:noVBand="1"/>
      </w:tblPr>
      <w:tblGrid>
        <w:gridCol w:w="2325"/>
        <w:gridCol w:w="1245"/>
        <w:gridCol w:w="1440"/>
        <w:gridCol w:w="885"/>
        <w:gridCol w:w="1560"/>
        <w:gridCol w:w="1710"/>
        <w:gridCol w:w="1530"/>
        <w:gridCol w:w="1515"/>
        <w:gridCol w:w="1816"/>
      </w:tblGrid>
      <w:tr w:rsidR="00170D99" w14:paraId="0FC970D1" w14:textId="77777777" w:rsidTr="00170D99">
        <w:trPr>
          <w:trHeight w:val="540"/>
        </w:trPr>
        <w:tc>
          <w:tcPr>
            <w:tcW w:w="2325" w:type="dxa"/>
            <w:tcBorders>
              <w:top w:val="single" w:sz="6" w:space="0" w:color="auto"/>
              <w:left w:val="single" w:sz="6" w:space="0" w:color="auto"/>
              <w:bottom w:val="single" w:sz="6" w:space="0" w:color="auto"/>
              <w:right w:val="single" w:sz="6" w:space="0" w:color="auto"/>
            </w:tcBorders>
          </w:tcPr>
          <w:p w14:paraId="0744F429" w14:textId="77777777"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Performance Indicator</w:t>
            </w:r>
            <w:r w:rsidRPr="0D5360B6">
              <w:rPr>
                <w:rFonts w:eastAsia="Arial" w:cs="Arial"/>
                <w:color w:val="000000" w:themeColor="text1"/>
                <w:sz w:val="20"/>
                <w:szCs w:val="20"/>
              </w:rPr>
              <w:t xml:space="preserve"> </w:t>
            </w:r>
          </w:p>
        </w:tc>
        <w:tc>
          <w:tcPr>
            <w:tcW w:w="1245" w:type="dxa"/>
            <w:tcBorders>
              <w:top w:val="single" w:sz="6" w:space="0" w:color="auto"/>
              <w:left w:val="single" w:sz="6" w:space="0" w:color="auto"/>
              <w:bottom w:val="single" w:sz="6" w:space="0" w:color="auto"/>
              <w:right w:val="single" w:sz="6" w:space="0" w:color="auto"/>
            </w:tcBorders>
          </w:tcPr>
          <w:p w14:paraId="7B577938" w14:textId="77777777"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Frequency</w:t>
            </w:r>
          </w:p>
        </w:tc>
        <w:tc>
          <w:tcPr>
            <w:tcW w:w="1440" w:type="dxa"/>
            <w:tcBorders>
              <w:top w:val="single" w:sz="6" w:space="0" w:color="auto"/>
              <w:left w:val="single" w:sz="6" w:space="0" w:color="auto"/>
              <w:bottom w:val="single" w:sz="6" w:space="0" w:color="auto"/>
              <w:right w:val="single" w:sz="6" w:space="0" w:color="auto"/>
            </w:tcBorders>
          </w:tcPr>
          <w:p w14:paraId="65D25F9D" w14:textId="77777777"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 xml:space="preserve">Directorate </w:t>
            </w:r>
            <w:r w:rsidRPr="0D5360B6">
              <w:rPr>
                <w:rFonts w:eastAsia="Arial" w:cs="Arial"/>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Pr>
          <w:p w14:paraId="52AAF70E" w14:textId="77777777"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Good is</w:t>
            </w:r>
            <w:r w:rsidRPr="0D5360B6">
              <w:rPr>
                <w:rFonts w:eastAsia="Arial" w:cs="Arial"/>
                <w:color w:val="000000" w:themeColor="text1"/>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14:paraId="03D4B8F2" w14:textId="77777777"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2019/20 Outturn</w:t>
            </w:r>
            <w:r w:rsidRPr="0D5360B6">
              <w:rPr>
                <w:rFonts w:eastAsia="Arial" w:cs="Arial"/>
                <w:color w:val="000000" w:themeColor="text1"/>
                <w:sz w:val="20"/>
                <w:szCs w:val="20"/>
              </w:rPr>
              <w:t xml:space="preserve"> </w:t>
            </w:r>
          </w:p>
        </w:tc>
        <w:tc>
          <w:tcPr>
            <w:tcW w:w="1710" w:type="dxa"/>
            <w:tcBorders>
              <w:top w:val="single" w:sz="6" w:space="0" w:color="auto"/>
              <w:left w:val="single" w:sz="6" w:space="0" w:color="auto"/>
              <w:bottom w:val="single" w:sz="6" w:space="0" w:color="auto"/>
              <w:right w:val="single" w:sz="6" w:space="0" w:color="auto"/>
            </w:tcBorders>
          </w:tcPr>
          <w:p w14:paraId="12C7BBC3" w14:textId="77777777" w:rsidR="00170D99" w:rsidRDefault="00170D99" w:rsidP="00654F8B">
            <w:pPr>
              <w:jc w:val="left"/>
              <w:rPr>
                <w:rFonts w:eastAsia="Arial" w:cs="Arial"/>
                <w:color w:val="000000" w:themeColor="text1"/>
                <w:sz w:val="20"/>
                <w:szCs w:val="20"/>
              </w:rPr>
            </w:pPr>
            <w:r w:rsidRPr="0D5360B6">
              <w:rPr>
                <w:rFonts w:eastAsia="Arial" w:cs="Arial"/>
                <w:b/>
                <w:bCs/>
                <w:color w:val="000000" w:themeColor="text1"/>
                <w:sz w:val="20"/>
                <w:szCs w:val="20"/>
              </w:rPr>
              <w:t xml:space="preserve"> 2020/21 Outturn</w:t>
            </w:r>
          </w:p>
        </w:tc>
        <w:tc>
          <w:tcPr>
            <w:tcW w:w="1530" w:type="dxa"/>
            <w:tcBorders>
              <w:top w:val="single" w:sz="6" w:space="0" w:color="auto"/>
              <w:left w:val="single" w:sz="6" w:space="0" w:color="auto"/>
              <w:bottom w:val="single" w:sz="6" w:space="0" w:color="auto"/>
              <w:right w:val="single" w:sz="6" w:space="0" w:color="auto"/>
            </w:tcBorders>
          </w:tcPr>
          <w:p w14:paraId="137AE2E3" w14:textId="5D6288F3"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 xml:space="preserve">2020/21 Quarter </w:t>
            </w:r>
            <w:r w:rsidR="00945F5F">
              <w:rPr>
                <w:rFonts w:eastAsia="Arial" w:cs="Arial"/>
                <w:b/>
                <w:bCs/>
                <w:color w:val="000000" w:themeColor="text1"/>
                <w:sz w:val="20"/>
                <w:szCs w:val="20"/>
              </w:rPr>
              <w:t>3</w:t>
            </w:r>
            <w:r w:rsidRPr="0D5360B6">
              <w:rPr>
                <w:rFonts w:eastAsia="Arial" w:cs="Arial"/>
                <w:b/>
                <w:bCs/>
                <w:color w:val="000000" w:themeColor="text1"/>
                <w:sz w:val="20"/>
                <w:szCs w:val="20"/>
              </w:rPr>
              <w:t xml:space="preserve"> (</w:t>
            </w:r>
            <w:r w:rsidR="00BE1324">
              <w:rPr>
                <w:rFonts w:eastAsia="Arial" w:cs="Arial"/>
                <w:b/>
                <w:bCs/>
                <w:color w:val="000000" w:themeColor="text1"/>
                <w:sz w:val="20"/>
                <w:szCs w:val="20"/>
              </w:rPr>
              <w:t>Oct</w:t>
            </w:r>
            <w:r w:rsidRPr="0D5360B6">
              <w:rPr>
                <w:rFonts w:eastAsia="Arial" w:cs="Arial"/>
                <w:b/>
                <w:bCs/>
                <w:color w:val="000000" w:themeColor="text1"/>
                <w:sz w:val="20"/>
                <w:szCs w:val="20"/>
              </w:rPr>
              <w:t xml:space="preserve"> –</w:t>
            </w:r>
            <w:r w:rsidR="00BE1324">
              <w:rPr>
                <w:rFonts w:eastAsia="Arial" w:cs="Arial"/>
                <w:b/>
                <w:bCs/>
                <w:color w:val="000000" w:themeColor="text1"/>
                <w:sz w:val="20"/>
                <w:szCs w:val="20"/>
              </w:rPr>
              <w:t>Dec</w:t>
            </w:r>
            <w:r w:rsidRPr="0D5360B6">
              <w:rPr>
                <w:rFonts w:eastAsia="Arial" w:cs="Arial"/>
                <w:b/>
                <w:bCs/>
                <w:color w:val="000000" w:themeColor="text1"/>
                <w:sz w:val="20"/>
                <w:szCs w:val="20"/>
              </w:rPr>
              <w:t>)</w:t>
            </w:r>
            <w:r w:rsidRPr="0D5360B6">
              <w:rPr>
                <w:rFonts w:eastAsia="Arial" w:cs="Arial"/>
                <w:color w:val="000000" w:themeColor="text1"/>
                <w:sz w:val="20"/>
                <w:szCs w:val="20"/>
              </w:rPr>
              <w:t xml:space="preserve"> </w:t>
            </w:r>
          </w:p>
        </w:tc>
        <w:tc>
          <w:tcPr>
            <w:tcW w:w="1515" w:type="dxa"/>
            <w:tcBorders>
              <w:top w:val="single" w:sz="6" w:space="0" w:color="auto"/>
              <w:left w:val="single" w:sz="6" w:space="0" w:color="auto"/>
              <w:bottom w:val="single" w:sz="6" w:space="0" w:color="auto"/>
              <w:right w:val="single" w:sz="6" w:space="0" w:color="auto"/>
            </w:tcBorders>
          </w:tcPr>
          <w:p w14:paraId="6C5ED709" w14:textId="05265786"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 xml:space="preserve">2021/22 Quarter </w:t>
            </w:r>
            <w:r w:rsidR="00316FD2">
              <w:rPr>
                <w:rFonts w:eastAsia="Arial" w:cs="Arial"/>
                <w:b/>
                <w:bCs/>
                <w:color w:val="000000" w:themeColor="text1"/>
                <w:sz w:val="20"/>
                <w:szCs w:val="20"/>
              </w:rPr>
              <w:t>3</w:t>
            </w:r>
            <w:r w:rsidRPr="0D5360B6">
              <w:rPr>
                <w:rFonts w:eastAsia="Arial" w:cs="Arial"/>
                <w:b/>
                <w:bCs/>
                <w:color w:val="000000" w:themeColor="text1"/>
                <w:sz w:val="20"/>
                <w:szCs w:val="20"/>
              </w:rPr>
              <w:t xml:space="preserve"> </w:t>
            </w:r>
            <w:r w:rsidR="00BE1324" w:rsidRPr="0D5360B6">
              <w:rPr>
                <w:rFonts w:eastAsia="Arial" w:cs="Arial"/>
                <w:b/>
                <w:bCs/>
                <w:color w:val="000000" w:themeColor="text1"/>
                <w:sz w:val="20"/>
                <w:szCs w:val="20"/>
              </w:rPr>
              <w:t>(</w:t>
            </w:r>
            <w:r w:rsidR="00BE1324">
              <w:rPr>
                <w:rFonts w:eastAsia="Arial" w:cs="Arial"/>
                <w:b/>
                <w:bCs/>
                <w:color w:val="000000" w:themeColor="text1"/>
                <w:sz w:val="20"/>
                <w:szCs w:val="20"/>
              </w:rPr>
              <w:t>Oct</w:t>
            </w:r>
            <w:r w:rsidR="00BE1324" w:rsidRPr="0D5360B6">
              <w:rPr>
                <w:rFonts w:eastAsia="Arial" w:cs="Arial"/>
                <w:b/>
                <w:bCs/>
                <w:color w:val="000000" w:themeColor="text1"/>
                <w:sz w:val="20"/>
                <w:szCs w:val="20"/>
              </w:rPr>
              <w:t xml:space="preserve"> –</w:t>
            </w:r>
            <w:r w:rsidR="00BE1324">
              <w:rPr>
                <w:rFonts w:eastAsia="Arial" w:cs="Arial"/>
                <w:b/>
                <w:bCs/>
                <w:color w:val="000000" w:themeColor="text1"/>
                <w:sz w:val="20"/>
                <w:szCs w:val="20"/>
              </w:rPr>
              <w:t>Dec</w:t>
            </w:r>
            <w:r w:rsidR="00BE1324" w:rsidRPr="0D5360B6">
              <w:rPr>
                <w:rFonts w:eastAsia="Arial" w:cs="Arial"/>
                <w:b/>
                <w:bCs/>
                <w:color w:val="000000" w:themeColor="text1"/>
                <w:sz w:val="20"/>
                <w:szCs w:val="20"/>
              </w:rPr>
              <w:t>)</w:t>
            </w:r>
          </w:p>
        </w:tc>
        <w:tc>
          <w:tcPr>
            <w:tcW w:w="1816" w:type="dxa"/>
            <w:tcBorders>
              <w:top w:val="single" w:sz="6" w:space="0" w:color="auto"/>
              <w:left w:val="single" w:sz="6" w:space="0" w:color="auto"/>
              <w:bottom w:val="single" w:sz="6" w:space="0" w:color="auto"/>
              <w:right w:val="single" w:sz="6" w:space="0" w:color="auto"/>
            </w:tcBorders>
          </w:tcPr>
          <w:p w14:paraId="0D6C536F" w14:textId="44BCA1E4" w:rsidR="00170D99" w:rsidRDefault="00170D99" w:rsidP="00654F8B">
            <w:pPr>
              <w:rPr>
                <w:rFonts w:eastAsia="Arial" w:cs="Arial"/>
                <w:color w:val="000000" w:themeColor="text1"/>
                <w:sz w:val="20"/>
                <w:szCs w:val="20"/>
              </w:rPr>
            </w:pPr>
            <w:r w:rsidRPr="0D5360B6">
              <w:rPr>
                <w:rFonts w:eastAsia="Arial" w:cs="Arial"/>
                <w:b/>
                <w:bCs/>
                <w:color w:val="000000" w:themeColor="text1"/>
                <w:sz w:val="20"/>
                <w:szCs w:val="20"/>
              </w:rPr>
              <w:t>202</w:t>
            </w:r>
            <w:r w:rsidR="004039E0">
              <w:rPr>
                <w:rFonts w:eastAsia="Arial" w:cs="Arial"/>
                <w:b/>
                <w:bCs/>
                <w:color w:val="000000" w:themeColor="text1"/>
                <w:sz w:val="20"/>
                <w:szCs w:val="20"/>
              </w:rPr>
              <w:t>1</w:t>
            </w:r>
            <w:r w:rsidRPr="0D5360B6">
              <w:rPr>
                <w:rFonts w:eastAsia="Arial" w:cs="Arial"/>
                <w:b/>
                <w:bCs/>
                <w:color w:val="000000" w:themeColor="text1"/>
                <w:sz w:val="20"/>
                <w:szCs w:val="20"/>
              </w:rPr>
              <w:t>/2</w:t>
            </w:r>
            <w:r w:rsidR="004039E0">
              <w:rPr>
                <w:rFonts w:eastAsia="Arial" w:cs="Arial"/>
                <w:b/>
                <w:bCs/>
                <w:color w:val="000000" w:themeColor="text1"/>
                <w:sz w:val="20"/>
                <w:szCs w:val="20"/>
              </w:rPr>
              <w:t>2</w:t>
            </w:r>
            <w:r w:rsidRPr="0D5360B6">
              <w:rPr>
                <w:rFonts w:eastAsia="Arial" w:cs="Arial"/>
                <w:b/>
                <w:bCs/>
                <w:color w:val="000000" w:themeColor="text1"/>
                <w:sz w:val="20"/>
                <w:szCs w:val="20"/>
              </w:rPr>
              <w:t xml:space="preserve"> Target</w:t>
            </w:r>
            <w:r w:rsidRPr="0D5360B6">
              <w:rPr>
                <w:rFonts w:eastAsia="Arial" w:cs="Arial"/>
                <w:color w:val="000000" w:themeColor="text1"/>
                <w:sz w:val="20"/>
                <w:szCs w:val="20"/>
              </w:rPr>
              <w:t xml:space="preserve"> </w:t>
            </w:r>
          </w:p>
        </w:tc>
      </w:tr>
      <w:tr w:rsidR="00170D99" w14:paraId="5252EA6E" w14:textId="77777777" w:rsidTr="000A76BD">
        <w:trPr>
          <w:trHeight w:val="945"/>
        </w:trPr>
        <w:tc>
          <w:tcPr>
            <w:tcW w:w="2325" w:type="dxa"/>
            <w:tcBorders>
              <w:top w:val="single" w:sz="6" w:space="0" w:color="auto"/>
              <w:left w:val="single" w:sz="6" w:space="0" w:color="auto"/>
              <w:bottom w:val="single" w:sz="6" w:space="0" w:color="auto"/>
              <w:right w:val="single" w:sz="6" w:space="0" w:color="auto"/>
            </w:tcBorders>
          </w:tcPr>
          <w:p w14:paraId="3DF9AAD6" w14:textId="77777777" w:rsidR="00170D99" w:rsidRDefault="00170D99" w:rsidP="00654F8B">
            <w:pPr>
              <w:jc w:val="left"/>
              <w:rPr>
                <w:rFonts w:eastAsia="Arial" w:cs="Arial"/>
                <w:color w:val="000000" w:themeColor="text1"/>
                <w:sz w:val="22"/>
                <w:szCs w:val="22"/>
              </w:rPr>
            </w:pPr>
            <w:r w:rsidRPr="69CB9C34">
              <w:rPr>
                <w:rFonts w:eastAsia="Arial" w:cs="Arial"/>
                <w:color w:val="000000" w:themeColor="text1"/>
                <w:sz w:val="22"/>
                <w:szCs w:val="22"/>
              </w:rPr>
              <w:t xml:space="preserve">Percentage of young people in employment education or training (EET) </w:t>
            </w:r>
          </w:p>
        </w:tc>
        <w:tc>
          <w:tcPr>
            <w:tcW w:w="1245" w:type="dxa"/>
            <w:tcBorders>
              <w:top w:val="single" w:sz="6" w:space="0" w:color="auto"/>
              <w:left w:val="single" w:sz="6" w:space="0" w:color="auto"/>
              <w:bottom w:val="single" w:sz="6" w:space="0" w:color="auto"/>
              <w:right w:val="single" w:sz="6" w:space="0" w:color="auto"/>
            </w:tcBorders>
          </w:tcPr>
          <w:p w14:paraId="2E1BB454"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Quarterly </w:t>
            </w:r>
          </w:p>
        </w:tc>
        <w:tc>
          <w:tcPr>
            <w:tcW w:w="1440" w:type="dxa"/>
            <w:tcBorders>
              <w:top w:val="single" w:sz="6" w:space="0" w:color="auto"/>
              <w:left w:val="single" w:sz="6" w:space="0" w:color="auto"/>
              <w:bottom w:val="single" w:sz="6" w:space="0" w:color="auto"/>
              <w:right w:val="single" w:sz="6" w:space="0" w:color="auto"/>
            </w:tcBorders>
          </w:tcPr>
          <w:p w14:paraId="77E1B329"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Education and Children's Services </w:t>
            </w:r>
          </w:p>
        </w:tc>
        <w:tc>
          <w:tcPr>
            <w:tcW w:w="885" w:type="dxa"/>
            <w:tcBorders>
              <w:top w:val="single" w:sz="6" w:space="0" w:color="auto"/>
              <w:left w:val="single" w:sz="6" w:space="0" w:color="auto"/>
              <w:bottom w:val="single" w:sz="6" w:space="0" w:color="auto"/>
              <w:right w:val="single" w:sz="6" w:space="0" w:color="auto"/>
            </w:tcBorders>
          </w:tcPr>
          <w:p w14:paraId="28A31206"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High </w:t>
            </w:r>
          </w:p>
        </w:tc>
        <w:tc>
          <w:tcPr>
            <w:tcW w:w="156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2F739D6"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93% </w:t>
            </w:r>
            <w:r>
              <w:br/>
            </w:r>
            <w:r w:rsidRPr="69CB9C34">
              <w:rPr>
                <w:rFonts w:eastAsia="Arial" w:cs="Arial"/>
                <w:color w:val="000000" w:themeColor="text1"/>
                <w:sz w:val="22"/>
                <w:szCs w:val="22"/>
              </w:rPr>
              <w:t xml:space="preserve">(Dec 2019 – Feb 20 average) </w:t>
            </w:r>
          </w:p>
          <w:p w14:paraId="31728F6D"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71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12F5036B"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93.8% </w:t>
            </w:r>
            <w:r>
              <w:br/>
            </w:r>
            <w:r w:rsidRPr="69CB9C34">
              <w:rPr>
                <w:rFonts w:eastAsia="Arial" w:cs="Arial"/>
                <w:color w:val="000000" w:themeColor="text1"/>
                <w:sz w:val="22"/>
                <w:szCs w:val="22"/>
              </w:rPr>
              <w:t xml:space="preserve">(Dec 2020 – Feb 2021 average) </w:t>
            </w:r>
          </w:p>
          <w:p w14:paraId="5C90E9E6"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3E6A0814" w14:textId="386E3657" w:rsidR="00170D99" w:rsidRDefault="00C85FA9" w:rsidP="00654F8B">
            <w:pPr>
              <w:jc w:val="center"/>
              <w:rPr>
                <w:rFonts w:eastAsia="Arial" w:cs="Arial"/>
                <w:color w:val="000000" w:themeColor="text1"/>
                <w:sz w:val="22"/>
                <w:szCs w:val="22"/>
              </w:rPr>
            </w:pPr>
            <w:r>
              <w:t>93.2%</w:t>
            </w:r>
            <w:r w:rsidR="00170D99">
              <w:br/>
            </w:r>
            <w:r w:rsidR="00170D99" w:rsidRPr="69CB9C34">
              <w:rPr>
                <w:rFonts w:eastAsia="Arial" w:cs="Arial"/>
                <w:color w:val="000000" w:themeColor="text1"/>
                <w:sz w:val="22"/>
                <w:szCs w:val="22"/>
              </w:rPr>
              <w:t>(</w:t>
            </w:r>
            <w:r w:rsidR="00446AB7">
              <w:rPr>
                <w:rFonts w:eastAsia="Arial" w:cs="Arial"/>
                <w:color w:val="000000" w:themeColor="text1"/>
                <w:sz w:val="22"/>
                <w:szCs w:val="22"/>
              </w:rPr>
              <w:t>Dec</w:t>
            </w:r>
            <w:r w:rsidR="00170D99" w:rsidRPr="69CB9C34">
              <w:rPr>
                <w:rFonts w:eastAsia="Arial" w:cs="Arial"/>
                <w:color w:val="000000" w:themeColor="text1"/>
                <w:sz w:val="22"/>
                <w:szCs w:val="22"/>
              </w:rPr>
              <w:t xml:space="preserve"> 2020) </w:t>
            </w:r>
          </w:p>
          <w:p w14:paraId="04C4B3D9"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09343160" w14:textId="78E3613B" w:rsidR="00170D99" w:rsidRDefault="00C85FA9" w:rsidP="00654F8B">
            <w:pPr>
              <w:spacing w:line="252" w:lineRule="auto"/>
              <w:jc w:val="center"/>
              <w:rPr>
                <w:rFonts w:eastAsia="Arial" w:cs="Arial"/>
                <w:color w:val="000000" w:themeColor="text1"/>
                <w:sz w:val="22"/>
                <w:szCs w:val="22"/>
              </w:rPr>
            </w:pPr>
            <w:r>
              <w:t>94</w:t>
            </w:r>
            <w:r w:rsidR="000A76BD">
              <w:t>%</w:t>
            </w:r>
            <w:r w:rsidR="00170D99">
              <w:br/>
            </w:r>
            <w:r w:rsidR="00170D99" w:rsidRPr="69CB9C34">
              <w:rPr>
                <w:rFonts w:eastAsia="Arial" w:cs="Arial"/>
                <w:color w:val="000000" w:themeColor="text1"/>
                <w:sz w:val="22"/>
                <w:szCs w:val="22"/>
              </w:rPr>
              <w:t>(</w:t>
            </w:r>
            <w:r w:rsidR="00446AB7">
              <w:rPr>
                <w:rFonts w:eastAsia="Arial" w:cs="Arial"/>
                <w:color w:val="000000" w:themeColor="text1"/>
                <w:sz w:val="22"/>
                <w:szCs w:val="22"/>
              </w:rPr>
              <w:t>Dec</w:t>
            </w:r>
            <w:r w:rsidR="00170D99" w:rsidRPr="69CB9C34">
              <w:rPr>
                <w:rFonts w:eastAsia="Arial" w:cs="Arial"/>
                <w:color w:val="000000" w:themeColor="text1"/>
                <w:sz w:val="22"/>
                <w:szCs w:val="22"/>
              </w:rPr>
              <w:t xml:space="preserve"> 2021)</w:t>
            </w:r>
          </w:p>
        </w:tc>
        <w:tc>
          <w:tcPr>
            <w:tcW w:w="1816" w:type="dxa"/>
            <w:tcBorders>
              <w:top w:val="single" w:sz="6" w:space="0" w:color="auto"/>
              <w:left w:val="single" w:sz="6" w:space="0" w:color="auto"/>
              <w:bottom w:val="single" w:sz="6" w:space="0" w:color="auto"/>
              <w:right w:val="single" w:sz="6" w:space="0" w:color="auto"/>
            </w:tcBorders>
          </w:tcPr>
          <w:p w14:paraId="3256E36D"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94.7% </w:t>
            </w:r>
          </w:p>
          <w:p w14:paraId="4A5FA53D"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(Dec 2020-Feb 2021 average) </w:t>
            </w:r>
          </w:p>
        </w:tc>
      </w:tr>
      <w:tr w:rsidR="00170D99" w14:paraId="30A6E15C" w14:textId="77777777" w:rsidTr="00170D99">
        <w:trPr>
          <w:trHeight w:val="945"/>
        </w:trPr>
        <w:tc>
          <w:tcPr>
            <w:tcW w:w="2325" w:type="dxa"/>
            <w:tcBorders>
              <w:top w:val="single" w:sz="6" w:space="0" w:color="auto"/>
              <w:left w:val="single" w:sz="6" w:space="0" w:color="auto"/>
              <w:bottom w:val="single" w:sz="6" w:space="0" w:color="auto"/>
              <w:right w:val="single" w:sz="6" w:space="0" w:color="auto"/>
            </w:tcBorders>
          </w:tcPr>
          <w:p w14:paraId="51F84C8F" w14:textId="77777777" w:rsidR="00170D99" w:rsidRDefault="00170D99" w:rsidP="00654F8B">
            <w:pPr>
              <w:jc w:val="left"/>
              <w:rPr>
                <w:rFonts w:eastAsia="Arial" w:cs="Arial"/>
                <w:color w:val="000000" w:themeColor="text1"/>
                <w:sz w:val="22"/>
                <w:szCs w:val="22"/>
              </w:rPr>
            </w:pPr>
            <w:r w:rsidRPr="69CB9C34">
              <w:rPr>
                <w:rFonts w:eastAsia="Arial" w:cs="Arial"/>
                <w:color w:val="000000" w:themeColor="text1"/>
                <w:sz w:val="22"/>
                <w:szCs w:val="22"/>
              </w:rPr>
              <w:t xml:space="preserve">Percentage of young people in education or training (EET) SEND pupils </w:t>
            </w:r>
          </w:p>
        </w:tc>
        <w:tc>
          <w:tcPr>
            <w:tcW w:w="1245" w:type="dxa"/>
            <w:tcBorders>
              <w:top w:val="single" w:sz="6" w:space="0" w:color="auto"/>
              <w:left w:val="single" w:sz="6" w:space="0" w:color="auto"/>
              <w:bottom w:val="single" w:sz="6" w:space="0" w:color="auto"/>
              <w:right w:val="single" w:sz="6" w:space="0" w:color="auto"/>
            </w:tcBorders>
          </w:tcPr>
          <w:p w14:paraId="3D9DF88B"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Annual </w:t>
            </w:r>
          </w:p>
        </w:tc>
        <w:tc>
          <w:tcPr>
            <w:tcW w:w="1440" w:type="dxa"/>
            <w:tcBorders>
              <w:top w:val="single" w:sz="6" w:space="0" w:color="auto"/>
              <w:left w:val="single" w:sz="6" w:space="0" w:color="auto"/>
              <w:bottom w:val="single" w:sz="6" w:space="0" w:color="auto"/>
              <w:right w:val="single" w:sz="6" w:space="0" w:color="auto"/>
            </w:tcBorders>
          </w:tcPr>
          <w:p w14:paraId="7054CA3B"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Education and Children's Services </w:t>
            </w:r>
          </w:p>
        </w:tc>
        <w:tc>
          <w:tcPr>
            <w:tcW w:w="885" w:type="dxa"/>
            <w:tcBorders>
              <w:top w:val="single" w:sz="6" w:space="0" w:color="auto"/>
              <w:left w:val="single" w:sz="6" w:space="0" w:color="auto"/>
              <w:bottom w:val="single" w:sz="6" w:space="0" w:color="auto"/>
              <w:right w:val="single" w:sz="6" w:space="0" w:color="auto"/>
            </w:tcBorders>
          </w:tcPr>
          <w:p w14:paraId="7FDF1C2F" w14:textId="77777777" w:rsidR="00170D99" w:rsidRDefault="00170D99" w:rsidP="00654F8B">
            <w:pPr>
              <w:rPr>
                <w:rFonts w:eastAsia="Arial" w:cs="Arial"/>
                <w:color w:val="000000" w:themeColor="text1"/>
                <w:sz w:val="22"/>
                <w:szCs w:val="22"/>
              </w:rPr>
            </w:pPr>
            <w:r w:rsidRPr="69CB9C34">
              <w:rPr>
                <w:rFonts w:eastAsia="Arial" w:cs="Arial"/>
                <w:color w:val="000000" w:themeColor="text1"/>
                <w:sz w:val="22"/>
                <w:szCs w:val="22"/>
              </w:rPr>
              <w:t xml:space="preserve">High </w:t>
            </w:r>
          </w:p>
        </w:tc>
        <w:tc>
          <w:tcPr>
            <w:tcW w:w="156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D4946DD"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88.9% </w:t>
            </w:r>
            <w:r>
              <w:br/>
            </w:r>
            <w:r w:rsidRPr="69CB9C34">
              <w:rPr>
                <w:rFonts w:eastAsia="Arial" w:cs="Arial"/>
                <w:color w:val="000000" w:themeColor="text1"/>
                <w:sz w:val="22"/>
                <w:szCs w:val="22"/>
              </w:rPr>
              <w:t xml:space="preserve">(Dec 2019 – Feb 20 average)  </w:t>
            </w:r>
          </w:p>
        </w:tc>
        <w:tc>
          <w:tcPr>
            <w:tcW w:w="17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F3055A3"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90.3% </w:t>
            </w:r>
            <w:r>
              <w:br/>
            </w:r>
            <w:r w:rsidRPr="69CB9C34">
              <w:rPr>
                <w:rFonts w:eastAsia="Arial" w:cs="Arial"/>
                <w:color w:val="000000" w:themeColor="text1"/>
                <w:sz w:val="22"/>
                <w:szCs w:val="22"/>
              </w:rPr>
              <w:t xml:space="preserve">(Dec 2020-Feb 2021 average) </w:t>
            </w:r>
          </w:p>
        </w:tc>
        <w:tc>
          <w:tcPr>
            <w:tcW w:w="153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C5247C0" w14:textId="01048484" w:rsidR="00170D99" w:rsidRDefault="00BE1324" w:rsidP="00654F8B">
            <w:pPr>
              <w:jc w:val="center"/>
              <w:rPr>
                <w:rFonts w:eastAsia="Arial" w:cs="Arial"/>
                <w:color w:val="000000" w:themeColor="text1"/>
                <w:sz w:val="22"/>
                <w:szCs w:val="22"/>
              </w:rPr>
            </w:pPr>
            <w:r>
              <w:t>89.6%</w:t>
            </w:r>
            <w:r w:rsidR="00170D99">
              <w:br/>
            </w:r>
            <w:r w:rsidR="00170D99" w:rsidRPr="69CB9C34">
              <w:rPr>
                <w:rFonts w:eastAsia="Arial" w:cs="Arial"/>
                <w:color w:val="000000" w:themeColor="text1"/>
                <w:sz w:val="22"/>
                <w:szCs w:val="22"/>
              </w:rPr>
              <w:t>(</w:t>
            </w:r>
            <w:r w:rsidR="00446AB7">
              <w:rPr>
                <w:rFonts w:eastAsia="Arial" w:cs="Arial"/>
                <w:color w:val="000000" w:themeColor="text1"/>
                <w:sz w:val="22"/>
                <w:szCs w:val="22"/>
              </w:rPr>
              <w:t>Dec</w:t>
            </w:r>
            <w:r w:rsidR="00170D99" w:rsidRPr="69CB9C34">
              <w:rPr>
                <w:rFonts w:eastAsia="Arial" w:cs="Arial"/>
                <w:color w:val="000000" w:themeColor="text1"/>
                <w:sz w:val="22"/>
                <w:szCs w:val="22"/>
              </w:rPr>
              <w:t xml:space="preserve"> 2020) </w:t>
            </w:r>
          </w:p>
          <w:p w14:paraId="6B975C33"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8B90D5C" w14:textId="0592AD75" w:rsidR="00170D99" w:rsidRDefault="00BE1324" w:rsidP="00654F8B">
            <w:pPr>
              <w:spacing w:line="252" w:lineRule="auto"/>
              <w:jc w:val="center"/>
              <w:rPr>
                <w:rFonts w:eastAsia="Arial" w:cs="Arial"/>
                <w:color w:val="000000" w:themeColor="text1"/>
                <w:sz w:val="22"/>
                <w:szCs w:val="22"/>
              </w:rPr>
            </w:pPr>
            <w:r>
              <w:t>90.6%</w:t>
            </w:r>
            <w:r w:rsidR="00170D99">
              <w:br/>
            </w:r>
            <w:r w:rsidR="00170D99" w:rsidRPr="69CB9C34">
              <w:rPr>
                <w:rFonts w:eastAsia="Arial" w:cs="Arial"/>
                <w:color w:val="000000" w:themeColor="text1"/>
                <w:sz w:val="22"/>
                <w:szCs w:val="22"/>
              </w:rPr>
              <w:t>(</w:t>
            </w:r>
            <w:r w:rsidR="00446AB7">
              <w:rPr>
                <w:rFonts w:eastAsia="Arial" w:cs="Arial"/>
                <w:color w:val="000000" w:themeColor="text1"/>
                <w:sz w:val="22"/>
                <w:szCs w:val="22"/>
              </w:rPr>
              <w:t>Dec</w:t>
            </w:r>
            <w:r w:rsidR="00170D99" w:rsidRPr="69CB9C34">
              <w:rPr>
                <w:rFonts w:eastAsia="Arial" w:cs="Arial"/>
                <w:color w:val="000000" w:themeColor="text1"/>
                <w:sz w:val="22"/>
                <w:szCs w:val="22"/>
              </w:rPr>
              <w:t xml:space="preserve"> 2021)</w:t>
            </w:r>
          </w:p>
        </w:tc>
        <w:tc>
          <w:tcPr>
            <w:tcW w:w="1816" w:type="dxa"/>
            <w:tcBorders>
              <w:top w:val="single" w:sz="6" w:space="0" w:color="auto"/>
              <w:left w:val="single" w:sz="6" w:space="0" w:color="auto"/>
              <w:bottom w:val="single" w:sz="6" w:space="0" w:color="auto"/>
              <w:right w:val="single" w:sz="6" w:space="0" w:color="auto"/>
            </w:tcBorders>
          </w:tcPr>
          <w:p w14:paraId="5E424D93" w14:textId="77777777" w:rsidR="00170D99" w:rsidRDefault="00170D99" w:rsidP="00654F8B">
            <w:pPr>
              <w:jc w:val="center"/>
              <w:rPr>
                <w:rFonts w:eastAsia="Arial" w:cs="Arial"/>
                <w:color w:val="000000" w:themeColor="text1"/>
                <w:sz w:val="22"/>
                <w:szCs w:val="22"/>
              </w:rPr>
            </w:pPr>
            <w:r w:rsidRPr="69CB9C34">
              <w:rPr>
                <w:rFonts w:eastAsia="Arial" w:cs="Arial"/>
                <w:color w:val="000000" w:themeColor="text1"/>
                <w:sz w:val="22"/>
                <w:szCs w:val="22"/>
              </w:rPr>
              <w:t>86% (Dec 2020-Feb 2021 average)</w:t>
            </w:r>
          </w:p>
        </w:tc>
      </w:tr>
    </w:tbl>
    <w:p w14:paraId="2813AD46" w14:textId="77777777" w:rsidR="004833B5" w:rsidRDefault="004833B5" w:rsidP="002518DA">
      <w:pPr>
        <w:textAlignment w:val="baseline"/>
        <w:rPr>
          <w:rFonts w:eastAsia="Arial" w:cs="Arial"/>
          <w:b/>
          <w:bCs/>
          <w:color w:val="000000" w:themeColor="text1"/>
        </w:rPr>
      </w:pPr>
    </w:p>
    <w:p w14:paraId="4067D179" w14:textId="27A5C6FF" w:rsidR="002518DA" w:rsidRDefault="00170D99" w:rsidP="002518DA">
      <w:pPr>
        <w:textAlignment w:val="baseline"/>
        <w:rPr>
          <w:rFonts w:cs="Arial"/>
          <w:lang w:eastAsia="en-GB"/>
        </w:rPr>
      </w:pPr>
      <w:r w:rsidRPr="003410DD">
        <w:rPr>
          <w:rFonts w:eastAsia="Arial" w:cs="Arial"/>
          <w:b/>
          <w:bCs/>
          <w:color w:val="000000" w:themeColor="text1"/>
        </w:rPr>
        <w:t>16/17 year olds in Employment Education or Training (EET</w:t>
      </w:r>
      <w:r w:rsidRPr="003410DD">
        <w:rPr>
          <w:rFonts w:eastAsia="Arial" w:cs="Arial"/>
          <w:color w:val="000000" w:themeColor="text1"/>
        </w:rPr>
        <w:t>)</w:t>
      </w:r>
      <w:r w:rsidRPr="003410DD">
        <w:rPr>
          <w:rFonts w:cs="Arial"/>
        </w:rPr>
        <w:t>.</w:t>
      </w:r>
      <w:r w:rsidRPr="003410DD">
        <w:rPr>
          <w:rFonts w:cs="Arial"/>
          <w:color w:val="000000" w:themeColor="text1"/>
        </w:rPr>
        <w:t xml:space="preserve"> </w:t>
      </w:r>
      <w:r w:rsidR="00654F8B" w:rsidRPr="003410DD">
        <w:rPr>
          <w:rFonts w:cs="Arial"/>
          <w:color w:val="000000" w:themeColor="text1"/>
        </w:rPr>
        <w:t xml:space="preserve"> </w:t>
      </w:r>
    </w:p>
    <w:p w14:paraId="58835930" w14:textId="49B0C4D2" w:rsidR="007526A2" w:rsidRDefault="002518DA" w:rsidP="002518DA">
      <w:pPr>
        <w:textAlignment w:val="baseline"/>
        <w:rPr>
          <w:rFonts w:cs="Arial"/>
          <w:lang w:eastAsia="en-GB"/>
        </w:rPr>
      </w:pPr>
      <w:r>
        <w:rPr>
          <w:rFonts w:cs="Arial"/>
          <w:lang w:eastAsia="en-GB"/>
        </w:rPr>
        <w:t xml:space="preserve">At 94%, the Quarter 3 position for 2021/22 shows an improvement for all young people compared to the 2020/21 Quarter 3 position of 93.2%.  The Quarter 3 position for young people with SEND has </w:t>
      </w:r>
      <w:r w:rsidR="005827D4">
        <w:rPr>
          <w:rFonts w:cs="Arial"/>
          <w:lang w:eastAsia="en-GB"/>
        </w:rPr>
        <w:t xml:space="preserve">also </w:t>
      </w:r>
      <w:r>
        <w:rPr>
          <w:rFonts w:cs="Arial"/>
          <w:lang w:eastAsia="en-GB"/>
        </w:rPr>
        <w:t>improved by 1</w:t>
      </w:r>
      <w:r w:rsidR="0018304B">
        <w:rPr>
          <w:rFonts w:cs="Arial"/>
          <w:lang w:eastAsia="en-GB"/>
        </w:rPr>
        <w:t xml:space="preserve"> per</w:t>
      </w:r>
      <w:r w:rsidR="005827D4">
        <w:rPr>
          <w:rFonts w:cs="Arial"/>
          <w:lang w:eastAsia="en-GB"/>
        </w:rPr>
        <w:t>centage point</w:t>
      </w:r>
      <w:r>
        <w:rPr>
          <w:rFonts w:cs="Arial"/>
          <w:lang w:eastAsia="en-GB"/>
        </w:rPr>
        <w:t xml:space="preserve">.  The improvement in </w:t>
      </w:r>
      <w:r w:rsidR="00DC763D">
        <w:rPr>
          <w:rFonts w:cs="Arial"/>
          <w:lang w:eastAsia="en-GB"/>
        </w:rPr>
        <w:t xml:space="preserve">Lancashire </w:t>
      </w:r>
      <w:r>
        <w:rPr>
          <w:rFonts w:cs="Arial"/>
          <w:lang w:eastAsia="en-GB"/>
        </w:rPr>
        <w:t xml:space="preserve">performance is particularly notable as </w:t>
      </w:r>
      <w:r w:rsidR="007D52F0">
        <w:rPr>
          <w:rFonts w:cs="Arial"/>
          <w:lang w:eastAsia="en-GB"/>
        </w:rPr>
        <w:t>there are</w:t>
      </w:r>
      <w:r>
        <w:rPr>
          <w:rFonts w:cs="Arial"/>
          <w:lang w:eastAsia="en-GB"/>
        </w:rPr>
        <w:t xml:space="preserve"> around 1,000 more young people in the cohort </w:t>
      </w:r>
      <w:r w:rsidR="008C02AB">
        <w:rPr>
          <w:rFonts w:cs="Arial"/>
          <w:lang w:eastAsia="en-GB"/>
        </w:rPr>
        <w:t>(</w:t>
      </w:r>
      <w:r w:rsidR="00425DA6">
        <w:rPr>
          <w:rFonts w:cs="Arial"/>
          <w:lang w:eastAsia="en-GB"/>
        </w:rPr>
        <w:t xml:space="preserve">Q3 2021/22 compared </w:t>
      </w:r>
      <w:r w:rsidR="00C60629">
        <w:rPr>
          <w:rFonts w:cs="Arial"/>
          <w:lang w:eastAsia="en-GB"/>
        </w:rPr>
        <w:t xml:space="preserve">to Q3 2020/21) </w:t>
      </w:r>
      <w:r>
        <w:rPr>
          <w:rFonts w:cs="Arial"/>
          <w:lang w:eastAsia="en-GB"/>
        </w:rPr>
        <w:t xml:space="preserve">whose participation status </w:t>
      </w:r>
      <w:r w:rsidR="007D52F0">
        <w:rPr>
          <w:rFonts w:cs="Arial"/>
          <w:lang w:eastAsia="en-GB"/>
        </w:rPr>
        <w:t>must be</w:t>
      </w:r>
      <w:r>
        <w:rPr>
          <w:rFonts w:cs="Arial"/>
          <w:lang w:eastAsia="en-GB"/>
        </w:rPr>
        <w:t xml:space="preserve"> track</w:t>
      </w:r>
      <w:r w:rsidR="007D52F0">
        <w:rPr>
          <w:rFonts w:cs="Arial"/>
          <w:lang w:eastAsia="en-GB"/>
        </w:rPr>
        <w:t>ed</w:t>
      </w:r>
      <w:r>
        <w:rPr>
          <w:rFonts w:cs="Arial"/>
          <w:lang w:eastAsia="en-GB"/>
        </w:rPr>
        <w:t>.</w:t>
      </w:r>
    </w:p>
    <w:p w14:paraId="00E12EC7" w14:textId="69DAB9EC" w:rsidR="002518DA" w:rsidRPr="007526A2" w:rsidRDefault="002518DA" w:rsidP="002518DA">
      <w:pPr>
        <w:textAlignment w:val="baseline"/>
        <w:rPr>
          <w:rFonts w:cs="Arial"/>
          <w:lang w:eastAsia="en-GB"/>
        </w:rPr>
      </w:pPr>
      <w:r>
        <w:rPr>
          <w:rFonts w:cs="Arial"/>
          <w:lang w:eastAsia="en-GB"/>
        </w:rPr>
        <w:t>The continued focus on this area of work and the excellent engagement from secondary schools and post 16 providers has seen a sustained improvement in performance.  This must be set against the continuing challenges being faced by the education sector, as well as children and young people themselves.  The improvement in the December 2020 to February 2021 3 month average from the previous year shows how hard the team has worked to engage with the sector, which has been faced with various other priorities.  This also reflects how hard the sector has worked to continue to support young people to make positive and sustained transitions to post 16 education, employment or training. </w:t>
      </w:r>
    </w:p>
    <w:p w14:paraId="08B0E22D" w14:textId="14BDF090" w:rsidR="002518DA" w:rsidRPr="00C76F98" w:rsidRDefault="002518DA" w:rsidP="002518DA">
      <w:pPr>
        <w:textAlignment w:val="baseline"/>
        <w:rPr>
          <w:rFonts w:cs="Arial"/>
          <w:sz w:val="22"/>
          <w:szCs w:val="22"/>
          <w:lang w:eastAsia="en-GB"/>
        </w:rPr>
      </w:pPr>
      <w:r>
        <w:rPr>
          <w:rFonts w:cs="Arial"/>
          <w:lang w:eastAsia="en-GB"/>
        </w:rPr>
        <w:t xml:space="preserve">A range of actions continue to be undertaken to improve the NEET and not known position, including a focus on vulnerable groups, and to ensure Lancashire County Council is meeting the statutory duties in this area of work.  </w:t>
      </w:r>
      <w:r w:rsidR="004E078E">
        <w:rPr>
          <w:rFonts w:cs="Arial"/>
          <w:lang w:eastAsia="en-GB"/>
        </w:rPr>
        <w:t>The Authority</w:t>
      </w:r>
      <w:r>
        <w:rPr>
          <w:rFonts w:cs="Arial"/>
          <w:lang w:eastAsia="en-GB"/>
        </w:rPr>
        <w:t xml:space="preserve"> continue</w:t>
      </w:r>
      <w:r w:rsidR="004E078E">
        <w:rPr>
          <w:rFonts w:cs="Arial"/>
          <w:lang w:eastAsia="en-GB"/>
        </w:rPr>
        <w:t>s</w:t>
      </w:r>
      <w:r>
        <w:rPr>
          <w:rFonts w:cs="Arial"/>
          <w:lang w:eastAsia="en-GB"/>
        </w:rPr>
        <w:t xml:space="preserve"> to engage with other teams internally and are working more effectively with the Inclusion Service to share data on the participation status of young </w:t>
      </w:r>
      <w:r>
        <w:rPr>
          <w:rFonts w:cs="Arial"/>
          <w:lang w:eastAsia="en-GB"/>
        </w:rPr>
        <w:lastRenderedPageBreak/>
        <w:t xml:space="preserve">people with SEND or with an EHCP.  </w:t>
      </w:r>
      <w:r w:rsidR="00F074E0">
        <w:rPr>
          <w:rFonts w:cs="Arial"/>
          <w:lang w:eastAsia="en-GB"/>
        </w:rPr>
        <w:t>The Authority</w:t>
      </w:r>
      <w:r>
        <w:rPr>
          <w:rFonts w:cs="Arial"/>
          <w:lang w:eastAsia="en-GB"/>
        </w:rPr>
        <w:t xml:space="preserve"> </w:t>
      </w:r>
      <w:r w:rsidR="00F074E0">
        <w:rPr>
          <w:rFonts w:cs="Arial"/>
          <w:lang w:eastAsia="en-GB"/>
        </w:rPr>
        <w:t>is</w:t>
      </w:r>
      <w:r>
        <w:rPr>
          <w:rFonts w:cs="Arial"/>
          <w:lang w:eastAsia="en-GB"/>
        </w:rPr>
        <w:t xml:space="preserve"> continuing to look at alternative solutions in relation to tracking young people for whom we have no contact details.  </w:t>
      </w:r>
    </w:p>
    <w:p w14:paraId="0DBDFF5D" w14:textId="52D23362" w:rsidR="00263F2A" w:rsidRDefault="002518DA" w:rsidP="002518DA">
      <w:pPr>
        <w:rPr>
          <w:rFonts w:cs="Arial"/>
          <w:lang w:eastAsia="en-GB"/>
        </w:rPr>
      </w:pPr>
      <w:r>
        <w:rPr>
          <w:rFonts w:cs="Arial"/>
          <w:lang w:eastAsia="en-GB"/>
        </w:rPr>
        <w:t xml:space="preserve">In response to the pandemic, </w:t>
      </w:r>
      <w:r w:rsidR="00F074E0">
        <w:rPr>
          <w:rFonts w:cs="Arial"/>
          <w:lang w:eastAsia="en-GB"/>
        </w:rPr>
        <w:t>the Authority</w:t>
      </w:r>
      <w:r>
        <w:rPr>
          <w:rFonts w:cs="Arial"/>
          <w:lang w:eastAsia="en-GB"/>
        </w:rPr>
        <w:t xml:space="preserve"> used some Covid funding to commission a piece of targeted work to provide Year 11 leavers who had no post 16 intended destination with support and guidance on their future options, with a view them engaging in education, employment or training in the 2021/22 academic year.  This focused support took place over summer 2021.  An analysis of the commission showed that 982 young people were contacted and at the end of January 2022, 88.2% were in a positive destination.</w:t>
      </w:r>
    </w:p>
    <w:p w14:paraId="020B5C0E" w14:textId="5E8F6EDD" w:rsidR="00170D99" w:rsidRDefault="00170D99" w:rsidP="002518DA">
      <w:pPr>
        <w:pStyle w:val="NoSpacing"/>
        <w:rPr>
          <w:rFonts w:ascii="Arial" w:eastAsia="Arial" w:hAnsi="Arial" w:cs="Arial"/>
        </w:rPr>
      </w:pPr>
    </w:p>
    <w:p w14:paraId="79AD83FD" w14:textId="77777777" w:rsidR="004833B5" w:rsidRDefault="004833B5" w:rsidP="002518DA">
      <w:pPr>
        <w:pStyle w:val="NoSpacing"/>
        <w:rPr>
          <w:rFonts w:ascii="Arial" w:eastAsia="Arial" w:hAnsi="Arial" w:cs="Arial"/>
        </w:rPr>
      </w:pPr>
    </w:p>
    <w:p w14:paraId="676AD374" w14:textId="02341F40" w:rsidR="00FA31F0" w:rsidRDefault="00FA31F0">
      <w:pPr>
        <w:autoSpaceDE/>
        <w:autoSpaceDN/>
        <w:adjustRightInd/>
        <w:spacing w:after="160" w:line="259" w:lineRule="auto"/>
        <w:jc w:val="left"/>
        <w:rPr>
          <w:rFonts w:eastAsia="Arial" w:cs="Arial"/>
          <w:color w:val="auto"/>
          <w:sz w:val="22"/>
          <w:szCs w:val="22"/>
        </w:rPr>
      </w:pPr>
      <w:r>
        <w:rPr>
          <w:rFonts w:eastAsia="Arial" w:cs="Arial"/>
        </w:rPr>
        <w:br w:type="page"/>
      </w:r>
    </w:p>
    <w:tbl>
      <w:tblPr>
        <w:tblW w:w="13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851"/>
        <w:gridCol w:w="1276"/>
        <w:gridCol w:w="1211"/>
        <w:gridCol w:w="1291"/>
        <w:gridCol w:w="1766"/>
        <w:gridCol w:w="1766"/>
        <w:gridCol w:w="1266"/>
      </w:tblGrid>
      <w:tr w:rsidR="00170D99" w14:paraId="4D511CE6" w14:textId="77777777" w:rsidTr="00263F2A">
        <w:trPr>
          <w:trHeight w:val="983"/>
        </w:trPr>
        <w:tc>
          <w:tcPr>
            <w:tcW w:w="1985" w:type="dxa"/>
            <w:tcBorders>
              <w:top w:val="single" w:sz="4" w:space="0" w:color="auto"/>
              <w:left w:val="single" w:sz="4" w:space="0" w:color="auto"/>
              <w:bottom w:val="single" w:sz="4" w:space="0" w:color="auto"/>
              <w:right w:val="single" w:sz="4" w:space="0" w:color="auto"/>
            </w:tcBorders>
            <w:hideMark/>
          </w:tcPr>
          <w:p w14:paraId="17F5E0C8" w14:textId="77777777" w:rsidR="00170D99" w:rsidRPr="00A03613" w:rsidRDefault="00170D99" w:rsidP="00654F8B">
            <w:pPr>
              <w:pStyle w:val="NoSpacing"/>
              <w:rPr>
                <w:rFonts w:ascii="Arial" w:hAnsi="Arial" w:cs="Arial"/>
                <w:b/>
                <w:sz w:val="20"/>
                <w:szCs w:val="20"/>
                <w:highlight w:val="yellow"/>
              </w:rPr>
            </w:pPr>
            <w:bookmarkStart w:id="6" w:name="_Hlk74313838"/>
            <w:r w:rsidRPr="00A03613">
              <w:rPr>
                <w:rFonts w:ascii="Arial" w:hAnsi="Arial" w:cs="Arial"/>
                <w:b/>
                <w:sz w:val="20"/>
                <w:szCs w:val="20"/>
              </w:rPr>
              <w:lastRenderedPageBreak/>
              <w:t>Performance Indicator</w:t>
            </w:r>
          </w:p>
        </w:tc>
        <w:tc>
          <w:tcPr>
            <w:tcW w:w="1276" w:type="dxa"/>
            <w:tcBorders>
              <w:top w:val="single" w:sz="4" w:space="0" w:color="auto"/>
              <w:left w:val="single" w:sz="4" w:space="0" w:color="auto"/>
              <w:bottom w:val="single" w:sz="4" w:space="0" w:color="auto"/>
              <w:right w:val="single" w:sz="4" w:space="0" w:color="auto"/>
            </w:tcBorders>
            <w:hideMark/>
          </w:tcPr>
          <w:p w14:paraId="4EBD0C48" w14:textId="77777777" w:rsidR="00170D99" w:rsidRPr="00A03613" w:rsidRDefault="00170D99" w:rsidP="00654F8B">
            <w:pPr>
              <w:pStyle w:val="NoSpacing"/>
              <w:rPr>
                <w:rFonts w:ascii="Arial" w:hAnsi="Arial" w:cs="Arial"/>
                <w:b/>
                <w:sz w:val="20"/>
                <w:szCs w:val="20"/>
                <w:highlight w:val="yellow"/>
              </w:rPr>
            </w:pPr>
            <w:r w:rsidRPr="00A03613">
              <w:rPr>
                <w:rFonts w:ascii="Arial" w:hAnsi="Arial" w:cs="Arial"/>
                <w:b/>
                <w:sz w:val="20"/>
                <w:szCs w:val="20"/>
              </w:rPr>
              <w:t>Frequency</w:t>
            </w:r>
          </w:p>
        </w:tc>
        <w:tc>
          <w:tcPr>
            <w:tcW w:w="1275" w:type="dxa"/>
            <w:tcBorders>
              <w:top w:val="single" w:sz="4" w:space="0" w:color="auto"/>
              <w:left w:val="single" w:sz="4" w:space="0" w:color="auto"/>
              <w:bottom w:val="single" w:sz="4" w:space="0" w:color="auto"/>
              <w:right w:val="single" w:sz="4" w:space="0" w:color="auto"/>
            </w:tcBorders>
          </w:tcPr>
          <w:p w14:paraId="458D05C4" w14:textId="77777777" w:rsidR="00170D99" w:rsidRPr="00A03613" w:rsidRDefault="00170D99" w:rsidP="00654F8B">
            <w:pPr>
              <w:pStyle w:val="NoSpacing"/>
              <w:rPr>
                <w:rFonts w:ascii="Arial" w:hAnsi="Arial" w:cs="Arial"/>
                <w:b/>
                <w:sz w:val="20"/>
                <w:szCs w:val="20"/>
                <w:highlight w:val="yellow"/>
              </w:rPr>
            </w:pPr>
            <w:r w:rsidRPr="00A03613">
              <w:rPr>
                <w:rFonts w:ascii="Arial" w:hAnsi="Arial" w:cs="Arial"/>
                <w:b/>
                <w:sz w:val="20"/>
                <w:szCs w:val="20"/>
              </w:rPr>
              <w:t xml:space="preserve">Directorate </w:t>
            </w:r>
          </w:p>
        </w:tc>
        <w:tc>
          <w:tcPr>
            <w:tcW w:w="851" w:type="dxa"/>
            <w:tcBorders>
              <w:top w:val="single" w:sz="4" w:space="0" w:color="auto"/>
              <w:left w:val="single" w:sz="4" w:space="0" w:color="auto"/>
              <w:bottom w:val="single" w:sz="4" w:space="0" w:color="auto"/>
              <w:right w:val="single" w:sz="4" w:space="0" w:color="auto"/>
            </w:tcBorders>
          </w:tcPr>
          <w:p w14:paraId="4E23015A" w14:textId="77777777" w:rsidR="00170D99" w:rsidRPr="00A03613" w:rsidRDefault="00170D99" w:rsidP="00654F8B">
            <w:pPr>
              <w:pStyle w:val="NoSpacing"/>
              <w:rPr>
                <w:rFonts w:ascii="Arial" w:hAnsi="Arial" w:cs="Arial"/>
                <w:b/>
                <w:sz w:val="20"/>
                <w:szCs w:val="20"/>
                <w:highlight w:val="yellow"/>
              </w:rPr>
            </w:pPr>
            <w:r w:rsidRPr="00A03613">
              <w:rPr>
                <w:rFonts w:ascii="Arial" w:hAnsi="Arial" w:cs="Arial"/>
                <w:b/>
                <w:sz w:val="20"/>
                <w:szCs w:val="20"/>
              </w:rPr>
              <w:t>Good is</w:t>
            </w:r>
          </w:p>
        </w:tc>
        <w:tc>
          <w:tcPr>
            <w:tcW w:w="1276" w:type="dxa"/>
            <w:tcBorders>
              <w:top w:val="single" w:sz="4" w:space="0" w:color="auto"/>
              <w:left w:val="single" w:sz="4" w:space="0" w:color="auto"/>
              <w:bottom w:val="single" w:sz="4" w:space="0" w:color="auto"/>
              <w:right w:val="single" w:sz="4" w:space="0" w:color="auto"/>
            </w:tcBorders>
          </w:tcPr>
          <w:p w14:paraId="2FF7A8AC" w14:textId="77777777" w:rsidR="00170D99" w:rsidRPr="00A03613" w:rsidRDefault="00170D99" w:rsidP="00654F8B">
            <w:pPr>
              <w:pStyle w:val="NoSpacing"/>
              <w:jc w:val="center"/>
              <w:rPr>
                <w:rFonts w:ascii="Arial" w:hAnsi="Arial" w:cs="Arial"/>
                <w:b/>
                <w:bCs/>
                <w:sz w:val="20"/>
                <w:szCs w:val="20"/>
                <w:highlight w:val="yellow"/>
              </w:rPr>
            </w:pPr>
            <w:r w:rsidRPr="00A03613">
              <w:rPr>
                <w:rFonts w:ascii="Arial" w:hAnsi="Arial" w:cs="Arial"/>
                <w:b/>
                <w:bCs/>
                <w:sz w:val="20"/>
                <w:szCs w:val="20"/>
              </w:rPr>
              <w:t>2019/20 Outturn</w:t>
            </w:r>
          </w:p>
        </w:tc>
        <w:tc>
          <w:tcPr>
            <w:tcW w:w="1211" w:type="dxa"/>
            <w:tcBorders>
              <w:top w:val="single" w:sz="4" w:space="0" w:color="auto"/>
              <w:left w:val="single" w:sz="4" w:space="0" w:color="auto"/>
              <w:bottom w:val="single" w:sz="4" w:space="0" w:color="auto"/>
              <w:right w:val="single" w:sz="4" w:space="0" w:color="auto"/>
            </w:tcBorders>
          </w:tcPr>
          <w:p w14:paraId="4B0E9331" w14:textId="77777777" w:rsidR="00170D99" w:rsidRPr="00A03613" w:rsidRDefault="00170D99" w:rsidP="00654F8B">
            <w:pPr>
              <w:pStyle w:val="NoSpacing"/>
              <w:jc w:val="center"/>
              <w:rPr>
                <w:rFonts w:ascii="Arial" w:hAnsi="Arial" w:cs="Arial"/>
                <w:b/>
                <w:bCs/>
                <w:sz w:val="20"/>
                <w:szCs w:val="20"/>
              </w:rPr>
            </w:pPr>
            <w:r w:rsidRPr="00A03613">
              <w:rPr>
                <w:rFonts w:ascii="Arial" w:hAnsi="Arial" w:cs="Arial"/>
                <w:b/>
                <w:bCs/>
                <w:sz w:val="20"/>
                <w:szCs w:val="20"/>
              </w:rPr>
              <w:t>2020/21 Outturn</w:t>
            </w:r>
          </w:p>
        </w:tc>
        <w:tc>
          <w:tcPr>
            <w:tcW w:w="1291" w:type="dxa"/>
            <w:tcBorders>
              <w:top w:val="single" w:sz="4" w:space="0" w:color="auto"/>
              <w:left w:val="single" w:sz="4" w:space="0" w:color="auto"/>
              <w:bottom w:val="single" w:sz="4" w:space="0" w:color="auto"/>
              <w:right w:val="single" w:sz="4" w:space="0" w:color="auto"/>
            </w:tcBorders>
          </w:tcPr>
          <w:p w14:paraId="51F857E0" w14:textId="71B3C906" w:rsidR="00170D99" w:rsidRPr="00263F2A" w:rsidRDefault="00170D99" w:rsidP="00654F8B">
            <w:pPr>
              <w:pStyle w:val="NoSpacing"/>
              <w:rPr>
                <w:rFonts w:ascii="Arial" w:hAnsi="Arial" w:cs="Arial"/>
                <w:b/>
                <w:bCs/>
                <w:sz w:val="20"/>
                <w:szCs w:val="20"/>
              </w:rPr>
            </w:pPr>
            <w:r w:rsidRPr="00A03613">
              <w:rPr>
                <w:rFonts w:ascii="Arial" w:hAnsi="Arial" w:cs="Arial"/>
                <w:b/>
                <w:bCs/>
                <w:sz w:val="20"/>
                <w:szCs w:val="20"/>
              </w:rPr>
              <w:t>2021/22 Quarter 1 (April –June)</w:t>
            </w:r>
          </w:p>
        </w:tc>
        <w:tc>
          <w:tcPr>
            <w:tcW w:w="1766" w:type="dxa"/>
            <w:tcBorders>
              <w:top w:val="single" w:sz="4" w:space="0" w:color="auto"/>
              <w:left w:val="single" w:sz="4" w:space="0" w:color="auto"/>
              <w:bottom w:val="single" w:sz="4" w:space="0" w:color="auto"/>
              <w:right w:val="single" w:sz="4" w:space="0" w:color="auto"/>
            </w:tcBorders>
          </w:tcPr>
          <w:p w14:paraId="3F50040B" w14:textId="77777777" w:rsidR="00170D99" w:rsidRPr="00A03613" w:rsidRDefault="00170D99" w:rsidP="00654F8B">
            <w:pPr>
              <w:pStyle w:val="NoSpacing"/>
              <w:jc w:val="center"/>
              <w:rPr>
                <w:rFonts w:ascii="Arial" w:hAnsi="Arial" w:cs="Arial"/>
                <w:b/>
                <w:bCs/>
                <w:sz w:val="20"/>
                <w:szCs w:val="20"/>
              </w:rPr>
            </w:pPr>
            <w:r w:rsidRPr="00A03613">
              <w:rPr>
                <w:rFonts w:ascii="Arial" w:hAnsi="Arial" w:cs="Arial"/>
                <w:b/>
                <w:bCs/>
                <w:sz w:val="20"/>
                <w:szCs w:val="20"/>
              </w:rPr>
              <w:t>2021/22</w:t>
            </w:r>
          </w:p>
          <w:p w14:paraId="7BB7E166" w14:textId="77777777" w:rsidR="00170D99" w:rsidRPr="00A03613" w:rsidRDefault="00170D99" w:rsidP="00654F8B">
            <w:pPr>
              <w:pStyle w:val="NoSpacing"/>
              <w:jc w:val="center"/>
              <w:rPr>
                <w:rFonts w:ascii="Arial" w:hAnsi="Arial" w:cs="Arial"/>
                <w:b/>
                <w:bCs/>
                <w:sz w:val="20"/>
                <w:szCs w:val="20"/>
              </w:rPr>
            </w:pPr>
            <w:r w:rsidRPr="00A03613">
              <w:rPr>
                <w:rFonts w:ascii="Arial" w:hAnsi="Arial" w:cs="Arial"/>
                <w:b/>
                <w:bCs/>
                <w:sz w:val="20"/>
                <w:szCs w:val="20"/>
              </w:rPr>
              <w:t>Quarter 2</w:t>
            </w:r>
          </w:p>
          <w:p w14:paraId="584F0A3A" w14:textId="77777777" w:rsidR="00170D99" w:rsidRPr="00A03613" w:rsidRDefault="00170D99" w:rsidP="00654F8B">
            <w:pPr>
              <w:pStyle w:val="NoSpacing"/>
              <w:jc w:val="center"/>
              <w:rPr>
                <w:rFonts w:ascii="Arial" w:hAnsi="Arial" w:cs="Arial"/>
                <w:b/>
                <w:sz w:val="20"/>
                <w:szCs w:val="20"/>
              </w:rPr>
            </w:pPr>
            <w:r w:rsidRPr="00A03613">
              <w:rPr>
                <w:rFonts w:ascii="Arial" w:hAnsi="Arial" w:cs="Arial"/>
                <w:b/>
                <w:bCs/>
                <w:sz w:val="20"/>
                <w:szCs w:val="20"/>
              </w:rPr>
              <w:t>(July – Sep)</w:t>
            </w:r>
          </w:p>
        </w:tc>
        <w:tc>
          <w:tcPr>
            <w:tcW w:w="1766" w:type="dxa"/>
            <w:tcBorders>
              <w:top w:val="single" w:sz="4" w:space="0" w:color="auto"/>
              <w:left w:val="single" w:sz="4" w:space="0" w:color="auto"/>
              <w:bottom w:val="single" w:sz="4" w:space="0" w:color="auto"/>
              <w:right w:val="single" w:sz="4" w:space="0" w:color="auto"/>
            </w:tcBorders>
          </w:tcPr>
          <w:p w14:paraId="25F3D76E" w14:textId="77777777" w:rsidR="1B5468F6" w:rsidRDefault="1B5468F6" w:rsidP="6C28C597">
            <w:pPr>
              <w:pStyle w:val="NoSpacing"/>
              <w:jc w:val="center"/>
              <w:rPr>
                <w:rFonts w:ascii="Arial" w:hAnsi="Arial" w:cs="Arial"/>
                <w:b/>
                <w:bCs/>
                <w:sz w:val="20"/>
                <w:szCs w:val="20"/>
              </w:rPr>
            </w:pPr>
            <w:r w:rsidRPr="6C28C597">
              <w:rPr>
                <w:rFonts w:ascii="Arial" w:hAnsi="Arial" w:cs="Arial"/>
                <w:b/>
                <w:bCs/>
                <w:sz w:val="20"/>
                <w:szCs w:val="20"/>
              </w:rPr>
              <w:t>2021/22</w:t>
            </w:r>
          </w:p>
          <w:p w14:paraId="5D5A9556" w14:textId="3A8C46F6" w:rsidR="1B5468F6" w:rsidRDefault="1B5468F6" w:rsidP="6C28C597">
            <w:pPr>
              <w:pStyle w:val="NoSpacing"/>
              <w:jc w:val="center"/>
              <w:rPr>
                <w:rFonts w:ascii="Arial" w:hAnsi="Arial" w:cs="Arial"/>
                <w:b/>
                <w:bCs/>
                <w:sz w:val="20"/>
                <w:szCs w:val="20"/>
              </w:rPr>
            </w:pPr>
            <w:r w:rsidRPr="6C28C597">
              <w:rPr>
                <w:rFonts w:ascii="Arial" w:hAnsi="Arial" w:cs="Arial"/>
                <w:b/>
                <w:bCs/>
                <w:sz w:val="20"/>
                <w:szCs w:val="20"/>
              </w:rPr>
              <w:t>Quarter 3</w:t>
            </w:r>
          </w:p>
          <w:p w14:paraId="2CB29F37" w14:textId="106CA74B" w:rsidR="1B5468F6" w:rsidRDefault="1B5468F6" w:rsidP="6C28C597">
            <w:pPr>
              <w:pStyle w:val="NoSpacing"/>
              <w:jc w:val="center"/>
              <w:rPr>
                <w:rFonts w:ascii="Arial" w:hAnsi="Arial" w:cs="Arial"/>
                <w:b/>
                <w:bCs/>
                <w:sz w:val="20"/>
                <w:szCs w:val="20"/>
              </w:rPr>
            </w:pPr>
            <w:r w:rsidRPr="6C28C597">
              <w:rPr>
                <w:rFonts w:ascii="Arial" w:hAnsi="Arial" w:cs="Arial"/>
                <w:b/>
                <w:bCs/>
                <w:sz w:val="20"/>
                <w:szCs w:val="20"/>
              </w:rPr>
              <w:t>(Oct– Dec)</w:t>
            </w:r>
          </w:p>
          <w:p w14:paraId="388541A4" w14:textId="30F96257" w:rsidR="1B5468F6" w:rsidRDefault="1B5468F6" w:rsidP="6C28C597">
            <w:pPr>
              <w:pStyle w:val="NoSpacing"/>
              <w:jc w:val="center"/>
              <w:rPr>
                <w:b/>
                <w:sz w:val="20"/>
                <w:szCs w:val="20"/>
              </w:rPr>
            </w:pPr>
          </w:p>
        </w:tc>
        <w:tc>
          <w:tcPr>
            <w:tcW w:w="1266" w:type="dxa"/>
            <w:tcBorders>
              <w:top w:val="single" w:sz="4" w:space="0" w:color="auto"/>
              <w:left w:val="single" w:sz="4" w:space="0" w:color="auto"/>
              <w:bottom w:val="single" w:sz="4" w:space="0" w:color="auto"/>
              <w:right w:val="single" w:sz="4" w:space="0" w:color="auto"/>
            </w:tcBorders>
          </w:tcPr>
          <w:p w14:paraId="6B483CCB" w14:textId="77777777" w:rsidR="00170D99" w:rsidRPr="00A03613" w:rsidRDefault="00170D99" w:rsidP="00654F8B">
            <w:pPr>
              <w:pStyle w:val="NoSpacing"/>
              <w:rPr>
                <w:rFonts w:ascii="Arial" w:hAnsi="Arial" w:cs="Arial"/>
                <w:b/>
                <w:bCs/>
                <w:sz w:val="20"/>
                <w:szCs w:val="20"/>
                <w:highlight w:val="yellow"/>
              </w:rPr>
            </w:pPr>
            <w:r w:rsidRPr="00A03613">
              <w:rPr>
                <w:rFonts w:ascii="Arial" w:hAnsi="Arial" w:cs="Arial"/>
                <w:b/>
                <w:bCs/>
                <w:sz w:val="20"/>
                <w:szCs w:val="20"/>
              </w:rPr>
              <w:t>2021/22 Target</w:t>
            </w:r>
          </w:p>
        </w:tc>
      </w:tr>
      <w:bookmarkEnd w:id="6"/>
      <w:tr w:rsidR="0030413A" w14:paraId="438D2CBD" w14:textId="77777777" w:rsidTr="00B069D9">
        <w:trPr>
          <w:trHeight w:val="1975"/>
        </w:trPr>
        <w:tc>
          <w:tcPr>
            <w:tcW w:w="1985" w:type="dxa"/>
            <w:tcBorders>
              <w:top w:val="single" w:sz="4" w:space="0" w:color="auto"/>
              <w:left w:val="single" w:sz="4" w:space="0" w:color="auto"/>
              <w:bottom w:val="single" w:sz="4" w:space="0" w:color="auto"/>
              <w:right w:val="single" w:sz="4" w:space="0" w:color="auto"/>
            </w:tcBorders>
          </w:tcPr>
          <w:p w14:paraId="3BCE85C9" w14:textId="77777777" w:rsidR="00170D99" w:rsidRPr="00AB547C" w:rsidRDefault="00170D99" w:rsidP="00654F8B">
            <w:pPr>
              <w:pStyle w:val="NoSpacing"/>
              <w:rPr>
                <w:rFonts w:ascii="Arial" w:hAnsi="Arial" w:cs="Arial"/>
              </w:rPr>
            </w:pPr>
            <w:r w:rsidRPr="00AB547C">
              <w:rPr>
                <w:rFonts w:ascii="Arial" w:hAnsi="Arial" w:cs="Arial"/>
              </w:rPr>
              <w:t>Number of visits to libraries (annual cumulative indicator)</w:t>
            </w:r>
          </w:p>
        </w:tc>
        <w:tc>
          <w:tcPr>
            <w:tcW w:w="1276" w:type="dxa"/>
            <w:tcBorders>
              <w:top w:val="single" w:sz="4" w:space="0" w:color="auto"/>
              <w:left w:val="single" w:sz="4" w:space="0" w:color="auto"/>
              <w:bottom w:val="single" w:sz="4" w:space="0" w:color="auto"/>
              <w:right w:val="single" w:sz="4" w:space="0" w:color="auto"/>
            </w:tcBorders>
          </w:tcPr>
          <w:p w14:paraId="7CEF4EE0" w14:textId="77777777" w:rsidR="00170D99" w:rsidRPr="00AB547C" w:rsidRDefault="00170D99" w:rsidP="00654F8B">
            <w:pPr>
              <w:pStyle w:val="NoSpacing"/>
              <w:rPr>
                <w:rFonts w:ascii="Arial" w:hAnsi="Arial" w:cs="Arial"/>
              </w:rPr>
            </w:pPr>
            <w:r w:rsidRPr="00AB547C">
              <w:rPr>
                <w:rFonts w:ascii="Arial" w:hAnsi="Arial" w:cs="Arial"/>
              </w:rPr>
              <w:t>Quarterly</w:t>
            </w:r>
          </w:p>
        </w:tc>
        <w:tc>
          <w:tcPr>
            <w:tcW w:w="1275" w:type="dxa"/>
            <w:tcBorders>
              <w:top w:val="single" w:sz="4" w:space="0" w:color="auto"/>
              <w:left w:val="single" w:sz="4" w:space="0" w:color="auto"/>
              <w:bottom w:val="single" w:sz="4" w:space="0" w:color="auto"/>
              <w:right w:val="single" w:sz="4" w:space="0" w:color="auto"/>
            </w:tcBorders>
          </w:tcPr>
          <w:p w14:paraId="03B1E5EF" w14:textId="77777777" w:rsidR="00170D99" w:rsidRPr="00AB547C" w:rsidRDefault="00170D99" w:rsidP="00654F8B">
            <w:pPr>
              <w:pStyle w:val="NoSpacing"/>
              <w:rPr>
                <w:rFonts w:ascii="Arial" w:hAnsi="Arial" w:cs="Arial"/>
              </w:rPr>
            </w:pPr>
            <w:r w:rsidRPr="00AB547C">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14:paraId="5ACEAD5B" w14:textId="77777777" w:rsidR="00170D99" w:rsidRPr="00AB547C" w:rsidRDefault="00170D99" w:rsidP="00654F8B">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DD6A5A" w14:textId="77777777" w:rsidR="00170D99" w:rsidRPr="00AB547C" w:rsidRDefault="00170D99" w:rsidP="00654F8B">
            <w:pPr>
              <w:pStyle w:val="NoSpacing"/>
              <w:jc w:val="center"/>
              <w:rPr>
                <w:rFonts w:ascii="Arial" w:hAnsi="Arial" w:cs="Arial"/>
              </w:rPr>
            </w:pPr>
            <w:r w:rsidRPr="00AB547C">
              <w:rPr>
                <w:rFonts w:ascii="Arial" w:hAnsi="Arial" w:cs="Arial"/>
              </w:rPr>
              <w:t>3,486,877 (2019/20)</w:t>
            </w:r>
          </w:p>
          <w:p w14:paraId="5A45E6EB" w14:textId="77777777" w:rsidR="00170D99" w:rsidRPr="00AB547C" w:rsidRDefault="00170D99" w:rsidP="00654F8B">
            <w:pPr>
              <w:pStyle w:val="NoSpacing"/>
              <w:jc w:val="center"/>
              <w:rPr>
                <w:rFonts w:ascii="Arial" w:hAnsi="Arial" w:cs="Arial"/>
              </w:rPr>
            </w:pPr>
          </w:p>
          <w:p w14:paraId="46B8B89C" w14:textId="77777777" w:rsidR="00170D99" w:rsidRPr="00AB547C" w:rsidRDefault="00170D99" w:rsidP="00654F8B">
            <w:pPr>
              <w:pStyle w:val="NoSpacing"/>
              <w:jc w:val="center"/>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shd w:val="clear" w:color="auto" w:fill="FF0000"/>
          </w:tcPr>
          <w:p w14:paraId="378F2073" w14:textId="77777777" w:rsidR="00170D99" w:rsidRPr="00F054E3" w:rsidRDefault="00170D99" w:rsidP="00654F8B">
            <w:pPr>
              <w:jc w:val="center"/>
              <w:rPr>
                <w:color w:val="FFFFFF" w:themeColor="background1"/>
              </w:rPr>
            </w:pPr>
            <w:r w:rsidRPr="00F054E3">
              <w:rPr>
                <w:color w:val="FFFFFF" w:themeColor="background1"/>
                <w:sz w:val="22"/>
                <w:szCs w:val="22"/>
              </w:rPr>
              <w:t>477,981 (2020/21)</w:t>
            </w:r>
          </w:p>
          <w:p w14:paraId="08DCA536" w14:textId="77777777" w:rsidR="00170D99" w:rsidRPr="00F054E3" w:rsidRDefault="00170D99" w:rsidP="00654F8B">
            <w:pPr>
              <w:jc w:val="center"/>
              <w:rPr>
                <w:color w:val="FFFFFF" w:themeColor="background1"/>
              </w:rPr>
            </w:pPr>
          </w:p>
        </w:tc>
        <w:tc>
          <w:tcPr>
            <w:tcW w:w="1291" w:type="dxa"/>
            <w:tcBorders>
              <w:top w:val="single" w:sz="4" w:space="0" w:color="auto"/>
              <w:left w:val="single" w:sz="4" w:space="0" w:color="auto"/>
              <w:bottom w:val="single" w:sz="4" w:space="0" w:color="auto"/>
              <w:right w:val="single" w:sz="4" w:space="0" w:color="auto"/>
            </w:tcBorders>
            <w:shd w:val="clear" w:color="auto" w:fill="FF0000"/>
          </w:tcPr>
          <w:p w14:paraId="13BABC65" w14:textId="77777777" w:rsidR="00170D99" w:rsidRPr="00F054E3" w:rsidRDefault="00170D99" w:rsidP="00654F8B">
            <w:pPr>
              <w:jc w:val="center"/>
              <w:rPr>
                <w:color w:val="FFFFFF" w:themeColor="background1"/>
              </w:rPr>
            </w:pPr>
            <w:r w:rsidRPr="00F054E3">
              <w:rPr>
                <w:color w:val="FFFFFF" w:themeColor="background1"/>
              </w:rPr>
              <w:t>265,139</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DA35DF" w14:textId="77777777" w:rsidR="00170D99" w:rsidRPr="00D15808" w:rsidRDefault="00170D99" w:rsidP="00654F8B">
            <w:pPr>
              <w:jc w:val="center"/>
              <w:rPr>
                <w:color w:val="000000" w:themeColor="text1"/>
              </w:rPr>
            </w:pPr>
            <w:r w:rsidRPr="00D15808">
              <w:rPr>
                <w:rFonts w:eastAsia="Arial" w:cs="Arial"/>
                <w:sz w:val="22"/>
                <w:szCs w:val="22"/>
              </w:rPr>
              <w:t>393,140</w:t>
            </w:r>
          </w:p>
          <w:p w14:paraId="37519B48" w14:textId="77777777" w:rsidR="00170D99" w:rsidRPr="00D15808" w:rsidRDefault="00170D99" w:rsidP="00654F8B">
            <w:pPr>
              <w:jc w:val="center"/>
              <w:rPr>
                <w:color w:val="000000" w:themeColor="text1"/>
              </w:rPr>
            </w:pPr>
            <w:r w:rsidRPr="00D15808">
              <w:rPr>
                <w:rFonts w:eastAsia="Arial" w:cs="Arial"/>
                <w:color w:val="000000" w:themeColor="text1"/>
                <w:sz w:val="22"/>
                <w:szCs w:val="22"/>
              </w:rPr>
              <w:t>658,279 (cumulative total)</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tbl>
            <w:tblPr>
              <w:tblStyle w:val="TableGrid"/>
              <w:tblW w:w="0" w:type="auto"/>
              <w:tblLayout w:type="fixed"/>
              <w:tblLook w:val="06A0" w:firstRow="1" w:lastRow="0" w:firstColumn="1" w:lastColumn="0" w:noHBand="1" w:noVBand="1"/>
            </w:tblPr>
            <w:tblGrid>
              <w:gridCol w:w="1646"/>
            </w:tblGrid>
            <w:tr w:rsidR="6C28C597" w14:paraId="798DB85F" w14:textId="77777777" w:rsidTr="6C28C597">
              <w:trPr>
                <w:trHeight w:val="855"/>
              </w:trPr>
              <w:tc>
                <w:tcPr>
                  <w:tcW w:w="1646" w:type="dxa"/>
                  <w:tcBorders>
                    <w:top w:val="nil"/>
                    <w:left w:val="nil"/>
                    <w:bottom w:val="nil"/>
                    <w:right w:val="single" w:sz="8" w:space="0" w:color="auto"/>
                  </w:tcBorders>
                  <w:vAlign w:val="bottom"/>
                </w:tcPr>
                <w:p w14:paraId="42393F71" w14:textId="2F1AD0CD" w:rsidR="110906B4" w:rsidRDefault="110906B4" w:rsidP="00B069D9">
                  <w:pPr>
                    <w:jc w:val="center"/>
                    <w:rPr>
                      <w:rFonts w:eastAsia="Arial" w:cs="Arial"/>
                      <w:color w:val="000000" w:themeColor="text1"/>
                      <w:sz w:val="22"/>
                      <w:szCs w:val="22"/>
                    </w:rPr>
                  </w:pPr>
                  <w:r w:rsidRPr="6C28C597">
                    <w:rPr>
                      <w:rFonts w:eastAsia="Arial" w:cs="Arial"/>
                      <w:color w:val="000000" w:themeColor="text1"/>
                      <w:sz w:val="22"/>
                      <w:szCs w:val="22"/>
                    </w:rPr>
                    <w:t>440,628</w:t>
                  </w:r>
                </w:p>
              </w:tc>
            </w:tr>
          </w:tbl>
          <w:p w14:paraId="34AD201E" w14:textId="4AE340BD" w:rsidR="110906B4" w:rsidRDefault="269C2FB6" w:rsidP="00B069D9">
            <w:pPr>
              <w:jc w:val="center"/>
              <w:rPr>
                <w:rFonts w:eastAsia="Arial" w:cs="Arial"/>
                <w:color w:val="000000" w:themeColor="text1"/>
              </w:rPr>
            </w:pPr>
            <w:r w:rsidRPr="6C28C597">
              <w:rPr>
                <w:rFonts w:eastAsia="Arial" w:cs="Arial"/>
                <w:color w:val="000000" w:themeColor="text1"/>
                <w:sz w:val="22"/>
                <w:szCs w:val="22"/>
              </w:rPr>
              <w:t>1</w:t>
            </w:r>
            <w:r w:rsidR="28A80134" w:rsidRPr="6C28C597">
              <w:rPr>
                <w:rFonts w:eastAsia="Arial" w:cs="Arial"/>
                <w:color w:val="000000" w:themeColor="text1"/>
                <w:sz w:val="22"/>
                <w:szCs w:val="22"/>
              </w:rPr>
              <w:t>,</w:t>
            </w:r>
            <w:r w:rsidRPr="6C28C597">
              <w:rPr>
                <w:rFonts w:eastAsia="Arial" w:cs="Arial"/>
                <w:color w:val="000000" w:themeColor="text1"/>
                <w:sz w:val="22"/>
                <w:szCs w:val="22"/>
              </w:rPr>
              <w:t>099</w:t>
            </w:r>
            <w:r w:rsidR="39F45E67" w:rsidRPr="6C28C597">
              <w:rPr>
                <w:rFonts w:eastAsia="Arial" w:cs="Arial"/>
                <w:color w:val="000000" w:themeColor="text1"/>
                <w:sz w:val="22"/>
                <w:szCs w:val="22"/>
              </w:rPr>
              <w:t>,</w:t>
            </w:r>
            <w:r w:rsidRPr="6C28C597">
              <w:rPr>
                <w:rFonts w:eastAsia="Arial" w:cs="Arial"/>
                <w:color w:val="000000" w:themeColor="text1"/>
                <w:sz w:val="22"/>
                <w:szCs w:val="22"/>
              </w:rPr>
              <w:t>525 (cumulative total)</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0BEE8F4" w14:textId="77777777" w:rsidR="00170D99" w:rsidRPr="00AB547C" w:rsidRDefault="00170D99" w:rsidP="00654F8B">
            <w:pPr>
              <w:jc w:val="center"/>
              <w:rPr>
                <w:rFonts w:eastAsia="Arial" w:cs="Arial"/>
                <w:sz w:val="22"/>
                <w:szCs w:val="22"/>
              </w:rPr>
            </w:pPr>
            <w:r w:rsidRPr="4E6013FB">
              <w:rPr>
                <w:rFonts w:eastAsia="Arial" w:cs="Arial"/>
                <w:sz w:val="22"/>
                <w:szCs w:val="22"/>
              </w:rPr>
              <w:t>1,400,000</w:t>
            </w:r>
          </w:p>
          <w:p w14:paraId="3EE60A50" w14:textId="77777777" w:rsidR="00EB5976" w:rsidRDefault="00170D99" w:rsidP="009C5819">
            <w:pPr>
              <w:jc w:val="center"/>
              <w:rPr>
                <w:rFonts w:eastAsia="Arial" w:cs="Arial"/>
                <w:sz w:val="22"/>
                <w:szCs w:val="22"/>
              </w:rPr>
            </w:pPr>
            <w:r w:rsidRPr="00BD2408">
              <w:rPr>
                <w:rFonts w:eastAsia="Arial" w:cs="Arial"/>
                <w:sz w:val="22"/>
                <w:szCs w:val="22"/>
              </w:rPr>
              <w:t>Target reviewed</w:t>
            </w:r>
            <w:r w:rsidR="0094146C">
              <w:rPr>
                <w:rFonts w:eastAsia="Arial" w:cs="Arial"/>
                <w:sz w:val="22"/>
                <w:szCs w:val="22"/>
              </w:rPr>
              <w:t xml:space="preserve">Q2 </w:t>
            </w:r>
            <w:r w:rsidR="00EF70E9">
              <w:rPr>
                <w:rFonts w:eastAsia="Arial" w:cs="Arial"/>
                <w:sz w:val="22"/>
                <w:szCs w:val="22"/>
              </w:rPr>
              <w:t>(see notes)</w:t>
            </w:r>
            <w:r w:rsidR="00714116">
              <w:rPr>
                <w:rFonts w:eastAsia="Arial" w:cs="Arial"/>
                <w:sz w:val="22"/>
                <w:szCs w:val="22"/>
              </w:rPr>
              <w:t>.</w:t>
            </w:r>
            <w:r w:rsidRPr="00BD2408">
              <w:br/>
            </w:r>
            <w:r w:rsidRPr="00BD2408">
              <w:rPr>
                <w:rFonts w:eastAsia="Arial" w:cs="Arial"/>
                <w:sz w:val="22"/>
                <w:szCs w:val="22"/>
              </w:rPr>
              <w:t>Previously 4,000,000</w:t>
            </w:r>
          </w:p>
          <w:p w14:paraId="46FBC3A3" w14:textId="349138D8" w:rsidR="00654F8B" w:rsidRPr="00AB547C" w:rsidRDefault="00654F8B" w:rsidP="00263F2A">
            <w:pPr>
              <w:jc w:val="center"/>
              <w:rPr>
                <w:rFonts w:eastAsia="Arial" w:cs="Arial"/>
                <w:sz w:val="22"/>
                <w:szCs w:val="22"/>
              </w:rPr>
            </w:pPr>
          </w:p>
        </w:tc>
      </w:tr>
      <w:tr w:rsidR="0030413A" w14:paraId="3AD103A9" w14:textId="77777777" w:rsidTr="00EB5976">
        <w:trPr>
          <w:trHeight w:val="1837"/>
        </w:trPr>
        <w:tc>
          <w:tcPr>
            <w:tcW w:w="1985" w:type="dxa"/>
            <w:tcBorders>
              <w:top w:val="single" w:sz="4" w:space="0" w:color="auto"/>
              <w:left w:val="single" w:sz="4" w:space="0" w:color="auto"/>
              <w:bottom w:val="single" w:sz="4" w:space="0" w:color="auto"/>
              <w:right w:val="single" w:sz="4" w:space="0" w:color="auto"/>
            </w:tcBorders>
          </w:tcPr>
          <w:p w14:paraId="19FA376A" w14:textId="77777777" w:rsidR="00090583" w:rsidRPr="00AB547C" w:rsidRDefault="00090583" w:rsidP="00090583">
            <w:pPr>
              <w:pStyle w:val="NoSpacing"/>
              <w:rPr>
                <w:rFonts w:ascii="Arial" w:hAnsi="Arial" w:cs="Arial"/>
              </w:rPr>
            </w:pPr>
            <w:r w:rsidRPr="00AB547C">
              <w:rPr>
                <w:rFonts w:ascii="Arial" w:hAnsi="Arial" w:cs="Arial"/>
              </w:rPr>
              <w:t>Number of PNET sessions (annual cumulative indicator)</w:t>
            </w:r>
          </w:p>
        </w:tc>
        <w:tc>
          <w:tcPr>
            <w:tcW w:w="1276" w:type="dxa"/>
            <w:tcBorders>
              <w:top w:val="single" w:sz="4" w:space="0" w:color="auto"/>
              <w:left w:val="single" w:sz="4" w:space="0" w:color="auto"/>
              <w:bottom w:val="single" w:sz="4" w:space="0" w:color="auto"/>
              <w:right w:val="single" w:sz="4" w:space="0" w:color="auto"/>
            </w:tcBorders>
          </w:tcPr>
          <w:p w14:paraId="2F2C8E70" w14:textId="77777777" w:rsidR="00090583" w:rsidRPr="00AB547C" w:rsidRDefault="00090583" w:rsidP="00090583">
            <w:pPr>
              <w:pStyle w:val="NoSpacing"/>
              <w:rPr>
                <w:rFonts w:ascii="Arial" w:hAnsi="Arial" w:cs="Arial"/>
              </w:rPr>
            </w:pPr>
            <w:r w:rsidRPr="00AB547C">
              <w:rPr>
                <w:rFonts w:ascii="Arial" w:hAnsi="Arial" w:cs="Arial"/>
              </w:rPr>
              <w:t>Quarterly</w:t>
            </w:r>
          </w:p>
        </w:tc>
        <w:tc>
          <w:tcPr>
            <w:tcW w:w="1275" w:type="dxa"/>
            <w:tcBorders>
              <w:top w:val="single" w:sz="4" w:space="0" w:color="auto"/>
              <w:left w:val="single" w:sz="4" w:space="0" w:color="auto"/>
              <w:bottom w:val="single" w:sz="4" w:space="0" w:color="auto"/>
              <w:right w:val="single" w:sz="4" w:space="0" w:color="auto"/>
            </w:tcBorders>
          </w:tcPr>
          <w:p w14:paraId="5B61299D" w14:textId="77777777" w:rsidR="00090583" w:rsidRPr="00AB547C" w:rsidRDefault="00090583" w:rsidP="00090583">
            <w:pPr>
              <w:pStyle w:val="NoSpacing"/>
              <w:rPr>
                <w:rFonts w:ascii="Arial" w:hAnsi="Arial" w:cs="Arial"/>
              </w:rPr>
            </w:pPr>
            <w:r w:rsidRPr="00AB547C">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14:paraId="39865E74" w14:textId="77777777" w:rsidR="00090583" w:rsidRPr="00AB547C" w:rsidRDefault="00090583" w:rsidP="00090583">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E249A0" w14:textId="77777777" w:rsidR="00090583" w:rsidRPr="00AB547C" w:rsidRDefault="00090583" w:rsidP="00090583">
            <w:pPr>
              <w:pStyle w:val="NoSpacing"/>
              <w:jc w:val="center"/>
              <w:rPr>
                <w:rFonts w:ascii="Arial" w:hAnsi="Arial" w:cs="Arial"/>
              </w:rPr>
            </w:pPr>
            <w:r w:rsidRPr="00AB547C">
              <w:rPr>
                <w:rFonts w:ascii="Arial" w:hAnsi="Arial" w:cs="Arial"/>
              </w:rPr>
              <w:t>504,007 (2019/20)</w:t>
            </w:r>
          </w:p>
          <w:p w14:paraId="6E2F75E2" w14:textId="77777777" w:rsidR="00090583" w:rsidRPr="00AB547C" w:rsidRDefault="00090583" w:rsidP="00090583">
            <w:pPr>
              <w:pStyle w:val="NoSpacing"/>
              <w:jc w:val="center"/>
              <w:rPr>
                <w:rFonts w:ascii="Arial" w:hAnsi="Arial" w:cs="Arial"/>
              </w:rPr>
            </w:pPr>
          </w:p>
          <w:p w14:paraId="2DCA5B8F" w14:textId="77777777" w:rsidR="00090583" w:rsidRPr="00AB547C" w:rsidRDefault="00090583" w:rsidP="00090583">
            <w:pPr>
              <w:pStyle w:val="NoSpacing"/>
              <w:jc w:val="center"/>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shd w:val="clear" w:color="auto" w:fill="FF0000"/>
          </w:tcPr>
          <w:p w14:paraId="47274B8D" w14:textId="77777777" w:rsidR="00090583" w:rsidRPr="00F054E3" w:rsidRDefault="00090583" w:rsidP="00090583">
            <w:pPr>
              <w:pStyle w:val="NoSpacing"/>
              <w:jc w:val="center"/>
              <w:rPr>
                <w:color w:val="FFFFFF" w:themeColor="background1"/>
              </w:rPr>
            </w:pPr>
            <w:r w:rsidRPr="00F054E3">
              <w:rPr>
                <w:rFonts w:ascii="Arial" w:eastAsia="Arial" w:hAnsi="Arial" w:cs="Arial"/>
                <w:color w:val="FFFFFF" w:themeColor="background1"/>
              </w:rPr>
              <w:t>55,646 (2020/21)</w:t>
            </w:r>
          </w:p>
        </w:tc>
        <w:tc>
          <w:tcPr>
            <w:tcW w:w="1291" w:type="dxa"/>
            <w:tcBorders>
              <w:top w:val="single" w:sz="4" w:space="0" w:color="auto"/>
              <w:left w:val="single" w:sz="4" w:space="0" w:color="auto"/>
              <w:bottom w:val="single" w:sz="4" w:space="0" w:color="auto"/>
              <w:right w:val="single" w:sz="4" w:space="0" w:color="auto"/>
            </w:tcBorders>
            <w:shd w:val="clear" w:color="auto" w:fill="FF0000"/>
          </w:tcPr>
          <w:p w14:paraId="498A2874" w14:textId="77777777" w:rsidR="00090583" w:rsidRPr="00F054E3" w:rsidRDefault="00090583"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28,639</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3EC7E0" w14:textId="77777777" w:rsidR="00090583" w:rsidRPr="00D15808" w:rsidRDefault="00090583" w:rsidP="00090583">
            <w:pPr>
              <w:pStyle w:val="NoSpacing"/>
              <w:jc w:val="center"/>
              <w:rPr>
                <w:rFonts w:eastAsia="Arial" w:cs="Arial"/>
              </w:rPr>
            </w:pPr>
            <w:r w:rsidRPr="00D15808">
              <w:rPr>
                <w:rFonts w:ascii="Arial" w:eastAsia="Arial" w:hAnsi="Arial" w:cs="Arial"/>
                <w:color w:val="000000" w:themeColor="text1"/>
              </w:rPr>
              <w:t>39,605</w:t>
            </w:r>
          </w:p>
          <w:p w14:paraId="0786BF22" w14:textId="77777777" w:rsidR="00090583" w:rsidRPr="00D15808" w:rsidRDefault="00090583" w:rsidP="00090583">
            <w:pPr>
              <w:pStyle w:val="NoSpacing"/>
              <w:jc w:val="center"/>
              <w:rPr>
                <w:rFonts w:eastAsia="Arial" w:cs="Arial"/>
              </w:rPr>
            </w:pPr>
          </w:p>
          <w:p w14:paraId="575F3E43" w14:textId="77777777" w:rsidR="00090583" w:rsidRPr="00D15808" w:rsidRDefault="00090583" w:rsidP="00090583">
            <w:pPr>
              <w:pStyle w:val="NoSpacing"/>
              <w:jc w:val="center"/>
              <w:rPr>
                <w:rFonts w:eastAsia="Arial" w:cs="Arial"/>
              </w:rPr>
            </w:pPr>
            <w:r w:rsidRPr="00D15808">
              <w:rPr>
                <w:rFonts w:ascii="Arial" w:eastAsia="Arial" w:hAnsi="Arial" w:cs="Arial"/>
                <w:color w:val="000000" w:themeColor="text1"/>
              </w:rPr>
              <w:t>68,244 (cumulative total)</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177FDD" w14:textId="093BB76D" w:rsidR="7395E10B" w:rsidRDefault="7395E10B" w:rsidP="6C28C597">
            <w:pPr>
              <w:pStyle w:val="NoSpacing"/>
              <w:jc w:val="center"/>
              <w:rPr>
                <w:rFonts w:ascii="Arial" w:eastAsia="Arial" w:hAnsi="Arial" w:cs="Arial"/>
                <w:color w:val="000000" w:themeColor="text1"/>
              </w:rPr>
            </w:pPr>
            <w:r w:rsidRPr="6C28C597">
              <w:rPr>
                <w:rFonts w:ascii="Arial" w:eastAsia="Arial" w:hAnsi="Arial" w:cs="Arial"/>
                <w:color w:val="000000" w:themeColor="text1"/>
              </w:rPr>
              <w:t>47</w:t>
            </w:r>
            <w:r w:rsidR="53571C4E" w:rsidRPr="6C28C597">
              <w:rPr>
                <w:rFonts w:ascii="Arial" w:eastAsia="Arial" w:hAnsi="Arial" w:cs="Arial"/>
                <w:color w:val="000000" w:themeColor="text1"/>
              </w:rPr>
              <w:t>,</w:t>
            </w:r>
            <w:r w:rsidRPr="6C28C597">
              <w:rPr>
                <w:rFonts w:ascii="Arial" w:eastAsia="Arial" w:hAnsi="Arial" w:cs="Arial"/>
                <w:color w:val="000000" w:themeColor="text1"/>
              </w:rPr>
              <w:t>144</w:t>
            </w:r>
          </w:p>
          <w:p w14:paraId="5D9D5E3D" w14:textId="30FF15E8" w:rsidR="6C28C597" w:rsidRDefault="6C28C597" w:rsidP="6C28C597">
            <w:pPr>
              <w:pStyle w:val="NoSpacing"/>
              <w:jc w:val="center"/>
              <w:rPr>
                <w:color w:val="000000" w:themeColor="text1"/>
              </w:rPr>
            </w:pPr>
          </w:p>
          <w:p w14:paraId="20DEADFF" w14:textId="4C515DA0" w:rsidR="7D133C9C" w:rsidRDefault="7D133C9C" w:rsidP="6C28C597">
            <w:pPr>
              <w:pStyle w:val="NoSpacing"/>
              <w:jc w:val="center"/>
              <w:rPr>
                <w:rFonts w:eastAsia="Arial" w:cs="Arial"/>
              </w:rPr>
            </w:pPr>
            <w:r w:rsidRPr="6C28C597">
              <w:rPr>
                <w:rFonts w:ascii="Arial" w:eastAsia="Arial" w:hAnsi="Arial" w:cs="Arial"/>
                <w:color w:val="000000" w:themeColor="text1"/>
              </w:rPr>
              <w:t>115,388 (cumulative total)</w:t>
            </w:r>
          </w:p>
          <w:p w14:paraId="001548DF" w14:textId="05D56944" w:rsidR="7395E10B" w:rsidRDefault="7395E10B" w:rsidP="6C28C597">
            <w:pPr>
              <w:pStyle w:val="NoSpacing"/>
              <w:jc w:val="center"/>
              <w:rPr>
                <w:color w:val="000000" w:themeColor="text1"/>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BE4720B" w14:textId="77777777" w:rsidR="00090583" w:rsidRPr="00AB547C" w:rsidRDefault="00090583" w:rsidP="00090583">
            <w:pPr>
              <w:pStyle w:val="NoSpacing"/>
              <w:jc w:val="center"/>
              <w:rPr>
                <w:rFonts w:eastAsia="Arial" w:cs="Arial"/>
              </w:rPr>
            </w:pPr>
            <w:r w:rsidRPr="4E6013FB">
              <w:rPr>
                <w:rFonts w:ascii="Arial" w:eastAsia="Arial" w:hAnsi="Arial" w:cs="Arial"/>
                <w:color w:val="000000" w:themeColor="text1"/>
              </w:rPr>
              <w:t>150,000</w:t>
            </w:r>
          </w:p>
          <w:p w14:paraId="05F80ACF" w14:textId="578E603A" w:rsidR="00090583" w:rsidRPr="00BD2408" w:rsidRDefault="00090583" w:rsidP="00090583">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w:t>
            </w:r>
            <w:r w:rsidR="00CF616E">
              <w:rPr>
                <w:rFonts w:ascii="Arial" w:eastAsia="Arial" w:hAnsi="Arial" w:cs="Arial"/>
                <w:color w:val="000000" w:themeColor="text1"/>
              </w:rPr>
              <w:t xml:space="preserve"> </w:t>
            </w:r>
            <w:r w:rsidR="00461870">
              <w:rPr>
                <w:rFonts w:ascii="Arial" w:eastAsia="Arial" w:hAnsi="Arial" w:cs="Arial"/>
                <w:color w:val="000000" w:themeColor="text1"/>
              </w:rPr>
              <w:t>Q</w:t>
            </w:r>
            <w:r w:rsidR="00154FAC">
              <w:rPr>
                <w:rFonts w:ascii="Arial" w:eastAsia="Arial" w:hAnsi="Arial" w:cs="Arial"/>
                <w:color w:val="000000" w:themeColor="text1"/>
              </w:rPr>
              <w:t>2</w:t>
            </w:r>
            <w:r w:rsidR="00E45C87">
              <w:rPr>
                <w:rFonts w:ascii="Arial" w:eastAsia="Arial" w:hAnsi="Arial" w:cs="Arial"/>
                <w:color w:val="000000" w:themeColor="text1"/>
              </w:rPr>
              <w:t>.</w:t>
            </w:r>
          </w:p>
          <w:p w14:paraId="569D6121" w14:textId="77777777" w:rsidR="0080625B" w:rsidRDefault="009722F4" w:rsidP="00090583">
            <w:pPr>
              <w:pStyle w:val="NoSpacing"/>
              <w:jc w:val="center"/>
              <w:rPr>
                <w:rFonts w:ascii="Arial" w:eastAsia="Arial" w:hAnsi="Arial" w:cs="Arial"/>
                <w:color w:val="000000" w:themeColor="text1"/>
              </w:rPr>
            </w:pPr>
            <w:r>
              <w:rPr>
                <w:rFonts w:ascii="Arial" w:eastAsia="Arial" w:hAnsi="Arial" w:cs="Arial"/>
                <w:color w:val="000000" w:themeColor="text1"/>
              </w:rPr>
              <w:t>Target p</w:t>
            </w:r>
            <w:r w:rsidR="00090583" w:rsidRPr="00BD2408">
              <w:rPr>
                <w:rFonts w:ascii="Arial" w:eastAsia="Arial" w:hAnsi="Arial" w:cs="Arial"/>
                <w:color w:val="000000" w:themeColor="text1"/>
              </w:rPr>
              <w:t xml:space="preserve">reviously </w:t>
            </w:r>
          </w:p>
          <w:p w14:paraId="17C34F97" w14:textId="7F65035C" w:rsidR="0080625B" w:rsidRPr="00DD3AC3" w:rsidRDefault="00090583" w:rsidP="00090583">
            <w:pPr>
              <w:pStyle w:val="NoSpacing"/>
              <w:jc w:val="center"/>
              <w:rPr>
                <w:rFonts w:ascii="Arial" w:eastAsia="Arial" w:hAnsi="Arial" w:cs="Arial"/>
                <w:color w:val="000000" w:themeColor="text1"/>
              </w:rPr>
            </w:pPr>
            <w:r w:rsidRPr="00BD2408">
              <w:rPr>
                <w:rFonts w:ascii="Arial" w:eastAsia="Arial" w:hAnsi="Arial" w:cs="Arial"/>
                <w:color w:val="000000" w:themeColor="text1"/>
              </w:rPr>
              <w:t>621,000</w:t>
            </w:r>
          </w:p>
        </w:tc>
      </w:tr>
      <w:tr w:rsidR="00A3568F" w14:paraId="5365E938" w14:textId="77777777" w:rsidTr="005A5C9E">
        <w:trPr>
          <w:trHeight w:val="1515"/>
        </w:trPr>
        <w:tc>
          <w:tcPr>
            <w:tcW w:w="1985" w:type="dxa"/>
            <w:tcBorders>
              <w:top w:val="single" w:sz="4" w:space="0" w:color="auto"/>
              <w:left w:val="single" w:sz="4" w:space="0" w:color="auto"/>
              <w:bottom w:val="single" w:sz="4" w:space="0" w:color="auto"/>
              <w:right w:val="single" w:sz="4" w:space="0" w:color="auto"/>
            </w:tcBorders>
          </w:tcPr>
          <w:p w14:paraId="7F863FE2" w14:textId="77777777" w:rsidR="00A3568F" w:rsidRPr="00AB547C" w:rsidRDefault="00A3568F" w:rsidP="00A3568F">
            <w:pPr>
              <w:pStyle w:val="NoSpacing"/>
              <w:rPr>
                <w:rFonts w:ascii="Arial" w:hAnsi="Arial" w:cs="Arial"/>
              </w:rPr>
            </w:pPr>
            <w:bookmarkStart w:id="7" w:name="_Hlk74313746"/>
            <w:r w:rsidRPr="00AB547C">
              <w:rPr>
                <w:rFonts w:ascii="Arial" w:hAnsi="Arial" w:cs="Arial"/>
              </w:rPr>
              <w:t>Number of library events organised (annual cumulative indicator)</w:t>
            </w:r>
          </w:p>
        </w:tc>
        <w:tc>
          <w:tcPr>
            <w:tcW w:w="1276" w:type="dxa"/>
            <w:tcBorders>
              <w:top w:val="single" w:sz="4" w:space="0" w:color="auto"/>
              <w:left w:val="single" w:sz="4" w:space="0" w:color="auto"/>
              <w:bottom w:val="single" w:sz="4" w:space="0" w:color="auto"/>
              <w:right w:val="single" w:sz="4" w:space="0" w:color="auto"/>
            </w:tcBorders>
          </w:tcPr>
          <w:p w14:paraId="5C4DCAF8" w14:textId="77777777" w:rsidR="00A3568F" w:rsidRPr="00AB547C" w:rsidRDefault="00A3568F" w:rsidP="00A3568F">
            <w:pPr>
              <w:pStyle w:val="NoSpacing"/>
              <w:rPr>
                <w:rFonts w:ascii="Arial" w:hAnsi="Arial" w:cs="Arial"/>
              </w:rPr>
            </w:pPr>
            <w:r w:rsidRPr="00AB547C">
              <w:rPr>
                <w:rFonts w:ascii="Arial" w:hAnsi="Arial" w:cs="Arial"/>
              </w:rPr>
              <w:t>Quarterly</w:t>
            </w:r>
          </w:p>
        </w:tc>
        <w:tc>
          <w:tcPr>
            <w:tcW w:w="1275" w:type="dxa"/>
            <w:tcBorders>
              <w:top w:val="single" w:sz="4" w:space="0" w:color="auto"/>
              <w:left w:val="single" w:sz="4" w:space="0" w:color="auto"/>
              <w:bottom w:val="single" w:sz="4" w:space="0" w:color="auto"/>
              <w:right w:val="single" w:sz="4" w:space="0" w:color="auto"/>
            </w:tcBorders>
          </w:tcPr>
          <w:p w14:paraId="2F706E53" w14:textId="77777777" w:rsidR="00A3568F" w:rsidRPr="00AB547C" w:rsidRDefault="00A3568F" w:rsidP="00A3568F">
            <w:pPr>
              <w:pStyle w:val="NoSpacing"/>
              <w:rPr>
                <w:rFonts w:ascii="Arial" w:hAnsi="Arial" w:cs="Arial"/>
              </w:rPr>
            </w:pPr>
            <w:r w:rsidRPr="00AB547C">
              <w:rPr>
                <w:rFonts w:ascii="Arial" w:hAnsi="Arial" w:cs="Arial"/>
              </w:rPr>
              <w:t xml:space="preserve">Education and Children's Services </w:t>
            </w:r>
          </w:p>
        </w:tc>
        <w:tc>
          <w:tcPr>
            <w:tcW w:w="851" w:type="dxa"/>
            <w:tcBorders>
              <w:top w:val="single" w:sz="4" w:space="0" w:color="auto"/>
              <w:left w:val="single" w:sz="4" w:space="0" w:color="auto"/>
              <w:bottom w:val="single" w:sz="4" w:space="0" w:color="auto"/>
              <w:right w:val="single" w:sz="4" w:space="0" w:color="auto"/>
            </w:tcBorders>
          </w:tcPr>
          <w:p w14:paraId="07454504" w14:textId="77777777" w:rsidR="00A3568F" w:rsidRPr="00AB547C" w:rsidRDefault="00A3568F" w:rsidP="00A3568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755C49" w14:textId="77777777" w:rsidR="00A3568F" w:rsidRPr="00AB547C" w:rsidRDefault="00A3568F" w:rsidP="00A3568F">
            <w:pPr>
              <w:pStyle w:val="NoSpacing"/>
              <w:jc w:val="center"/>
              <w:rPr>
                <w:rFonts w:ascii="Arial" w:hAnsi="Arial" w:cs="Arial"/>
              </w:rPr>
            </w:pPr>
            <w:r w:rsidRPr="00D34F94">
              <w:rPr>
                <w:rFonts w:ascii="Arial" w:hAnsi="Arial" w:cs="Arial"/>
              </w:rPr>
              <w:t xml:space="preserve">11,718 </w:t>
            </w:r>
            <w:r w:rsidRPr="00AB547C">
              <w:rPr>
                <w:rFonts w:ascii="Arial" w:hAnsi="Arial" w:cs="Arial"/>
              </w:rPr>
              <w:t>(2019/20)</w:t>
            </w:r>
          </w:p>
          <w:p w14:paraId="3C6207FA" w14:textId="77777777" w:rsidR="00A3568F" w:rsidRPr="00AB547C" w:rsidRDefault="00A3568F" w:rsidP="00A3568F">
            <w:pPr>
              <w:pStyle w:val="NoSpacing"/>
              <w:jc w:val="center"/>
              <w:rPr>
                <w:rFonts w:ascii="Arial" w:hAnsi="Arial" w:cs="Arial"/>
              </w:rPr>
            </w:pPr>
          </w:p>
          <w:p w14:paraId="17D8E926" w14:textId="77777777" w:rsidR="00A3568F" w:rsidRPr="00AB547C" w:rsidRDefault="00A3568F" w:rsidP="00A3568F">
            <w:pPr>
              <w:pStyle w:val="NoSpacing"/>
              <w:jc w:val="center"/>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shd w:val="clear" w:color="auto" w:fill="FF0000"/>
          </w:tcPr>
          <w:p w14:paraId="77751CC9" w14:textId="77777777" w:rsidR="00A3568F" w:rsidRPr="00F054E3" w:rsidRDefault="00A3568F" w:rsidP="00A3568F">
            <w:pPr>
              <w:pStyle w:val="NoSpacing"/>
              <w:jc w:val="center"/>
              <w:rPr>
                <w:color w:val="FFFFFF" w:themeColor="background1"/>
              </w:rPr>
            </w:pPr>
            <w:r w:rsidRPr="00F054E3">
              <w:rPr>
                <w:rFonts w:ascii="Arial" w:eastAsia="Arial" w:hAnsi="Arial" w:cs="Arial"/>
                <w:color w:val="FFFFFF" w:themeColor="background1"/>
              </w:rPr>
              <w:t xml:space="preserve">205 </w:t>
            </w:r>
          </w:p>
          <w:p w14:paraId="62DE3DE2" w14:textId="77777777" w:rsidR="00A3568F" w:rsidRPr="00F054E3" w:rsidRDefault="00A3568F" w:rsidP="00A3568F">
            <w:pPr>
              <w:pStyle w:val="NoSpacing"/>
              <w:jc w:val="center"/>
              <w:rPr>
                <w:color w:val="FFFFFF" w:themeColor="background1"/>
              </w:rPr>
            </w:pPr>
            <w:r w:rsidRPr="00F054E3">
              <w:rPr>
                <w:rFonts w:ascii="Arial" w:eastAsia="Arial" w:hAnsi="Arial" w:cs="Arial"/>
                <w:color w:val="FFFFFF" w:themeColor="background1"/>
              </w:rPr>
              <w:t>(2020/21)</w:t>
            </w:r>
          </w:p>
        </w:tc>
        <w:tc>
          <w:tcPr>
            <w:tcW w:w="1291" w:type="dxa"/>
            <w:tcBorders>
              <w:top w:val="single" w:sz="4" w:space="0" w:color="auto"/>
              <w:left w:val="single" w:sz="4" w:space="0" w:color="auto"/>
              <w:bottom w:val="single" w:sz="4" w:space="0" w:color="auto"/>
              <w:right w:val="single" w:sz="4" w:space="0" w:color="auto"/>
            </w:tcBorders>
            <w:shd w:val="clear" w:color="auto" w:fill="FF0000"/>
          </w:tcPr>
          <w:p w14:paraId="02F8F27A" w14:textId="77777777" w:rsidR="00A3568F" w:rsidRPr="00F054E3" w:rsidRDefault="00A3568F" w:rsidP="00A3568F">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48</w:t>
            </w:r>
          </w:p>
        </w:tc>
        <w:tc>
          <w:tcPr>
            <w:tcW w:w="176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7AF0F6" w14:textId="77777777" w:rsidR="00A3568F" w:rsidRPr="00D15808" w:rsidRDefault="00A3568F" w:rsidP="00A3568F">
            <w:pPr>
              <w:pStyle w:val="NoSpacing"/>
              <w:jc w:val="center"/>
              <w:rPr>
                <w:rFonts w:ascii="Arial" w:eastAsia="Arial" w:hAnsi="Arial" w:cs="Arial"/>
              </w:rPr>
            </w:pPr>
            <w:r w:rsidRPr="00D15808">
              <w:rPr>
                <w:rFonts w:ascii="Arial" w:eastAsia="Arial" w:hAnsi="Arial" w:cs="Arial"/>
              </w:rPr>
              <w:t>103</w:t>
            </w:r>
          </w:p>
          <w:p w14:paraId="3E7AE184" w14:textId="77777777" w:rsidR="00A3568F" w:rsidRPr="00D15808" w:rsidRDefault="00A3568F" w:rsidP="00A3568F">
            <w:pPr>
              <w:pStyle w:val="NoSpacing"/>
              <w:jc w:val="center"/>
            </w:pPr>
          </w:p>
          <w:p w14:paraId="0B2A4EC3" w14:textId="77777777" w:rsidR="00A3568F" w:rsidRPr="00D15808" w:rsidRDefault="00A3568F" w:rsidP="00A3568F">
            <w:pPr>
              <w:pStyle w:val="NoSpacing"/>
              <w:jc w:val="center"/>
              <w:rPr>
                <w:color w:val="000000" w:themeColor="text1"/>
              </w:rPr>
            </w:pPr>
            <w:r w:rsidRPr="00D15808">
              <w:rPr>
                <w:rFonts w:ascii="Arial" w:eastAsia="Arial" w:hAnsi="Arial" w:cs="Arial"/>
              </w:rPr>
              <w:t>151</w:t>
            </w:r>
          </w:p>
          <w:p w14:paraId="711C3F17" w14:textId="77777777" w:rsidR="00A3568F" w:rsidRPr="00D15808" w:rsidRDefault="00A3568F" w:rsidP="00A3568F">
            <w:pPr>
              <w:pStyle w:val="NoSpacing"/>
              <w:jc w:val="center"/>
              <w:rPr>
                <w:color w:val="000000" w:themeColor="text1"/>
              </w:rPr>
            </w:pPr>
            <w:r w:rsidRPr="00D15808">
              <w:rPr>
                <w:rFonts w:ascii="Arial" w:eastAsia="Arial" w:hAnsi="Arial" w:cs="Arial"/>
                <w:color w:val="000000" w:themeColor="text1"/>
              </w:rPr>
              <w:t>(cumulative total)</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786C5E" w14:textId="4CCC9D77" w:rsidR="00A3568F" w:rsidRDefault="00A3568F" w:rsidP="00A3568F">
            <w:pPr>
              <w:pStyle w:val="NoSpacing"/>
              <w:jc w:val="center"/>
            </w:pPr>
            <w:r w:rsidRPr="6C28C597">
              <w:rPr>
                <w:rFonts w:ascii="Arial" w:eastAsia="Arial" w:hAnsi="Arial" w:cs="Arial"/>
              </w:rPr>
              <w:t>2,585</w:t>
            </w:r>
          </w:p>
          <w:p w14:paraId="7B3531C0" w14:textId="77777777" w:rsidR="00A3568F" w:rsidRDefault="00A3568F" w:rsidP="00A3568F">
            <w:pPr>
              <w:pStyle w:val="NoSpacing"/>
              <w:jc w:val="center"/>
            </w:pPr>
          </w:p>
          <w:p w14:paraId="2DD29ED4" w14:textId="6EBA5DB0" w:rsidR="00A3568F" w:rsidRDefault="00A3568F" w:rsidP="00A3568F">
            <w:pPr>
              <w:pStyle w:val="NoSpacing"/>
              <w:jc w:val="center"/>
            </w:pPr>
            <w:r w:rsidRPr="6C28C597">
              <w:rPr>
                <w:rFonts w:ascii="Arial" w:eastAsia="Arial" w:hAnsi="Arial" w:cs="Arial"/>
              </w:rPr>
              <w:t>2,736</w:t>
            </w:r>
          </w:p>
          <w:p w14:paraId="2885C026" w14:textId="77777777" w:rsidR="00A3568F" w:rsidRDefault="00A3568F" w:rsidP="00A3568F">
            <w:pPr>
              <w:pStyle w:val="NoSpacing"/>
              <w:jc w:val="center"/>
              <w:rPr>
                <w:color w:val="000000" w:themeColor="text1"/>
              </w:rPr>
            </w:pPr>
            <w:r w:rsidRPr="6C28C597">
              <w:rPr>
                <w:rFonts w:ascii="Arial" w:eastAsia="Arial" w:hAnsi="Arial" w:cs="Arial"/>
                <w:color w:val="000000" w:themeColor="text1"/>
              </w:rPr>
              <w:t>(cumulative total)</w:t>
            </w:r>
          </w:p>
          <w:p w14:paraId="73AE0976" w14:textId="3283ACBA" w:rsidR="00A3568F" w:rsidRDefault="00A3568F" w:rsidP="00A3568F">
            <w:pPr>
              <w:pStyle w:val="NoSpacing"/>
              <w:jc w:val="cente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3AD54A8" w14:textId="77777777" w:rsidR="00A3568F" w:rsidRPr="00AB547C" w:rsidRDefault="00A3568F" w:rsidP="00A3568F">
            <w:pPr>
              <w:pStyle w:val="NoSpacing"/>
              <w:jc w:val="center"/>
              <w:rPr>
                <w:rFonts w:ascii="Arial" w:eastAsia="Arial" w:hAnsi="Arial" w:cs="Arial"/>
              </w:rPr>
            </w:pPr>
            <w:r w:rsidRPr="4E6013FB">
              <w:rPr>
                <w:rFonts w:ascii="Arial" w:eastAsia="Arial" w:hAnsi="Arial" w:cs="Arial"/>
              </w:rPr>
              <w:t>1,000</w:t>
            </w:r>
          </w:p>
          <w:p w14:paraId="0B95A240" w14:textId="5DBCA629" w:rsidR="00A3568F" w:rsidRPr="00BD2408" w:rsidRDefault="00A3568F" w:rsidP="00A3568F">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w:t>
            </w:r>
            <w:r>
              <w:rPr>
                <w:rFonts w:ascii="Arial" w:eastAsia="Arial" w:hAnsi="Arial" w:cs="Arial"/>
                <w:color w:val="000000" w:themeColor="text1"/>
              </w:rPr>
              <w:t xml:space="preserve"> Q2</w:t>
            </w:r>
            <w:r w:rsidRPr="00BD2408">
              <w:rPr>
                <w:rFonts w:ascii="Arial" w:eastAsia="Arial" w:hAnsi="Arial" w:cs="Arial"/>
                <w:color w:val="000000" w:themeColor="text1"/>
              </w:rPr>
              <w:t xml:space="preserve"> </w:t>
            </w:r>
          </w:p>
          <w:p w14:paraId="067E3656" w14:textId="6162AF02" w:rsidR="00A3568F" w:rsidRPr="00BD2408" w:rsidRDefault="00A3568F" w:rsidP="00A3568F">
            <w:pPr>
              <w:pStyle w:val="NoSpacing"/>
              <w:jc w:val="center"/>
              <w:rPr>
                <w:rFonts w:ascii="Arial" w:hAnsi="Arial" w:cs="Arial"/>
              </w:rPr>
            </w:pPr>
            <w:r>
              <w:rPr>
                <w:rFonts w:ascii="Arial" w:hAnsi="Arial" w:cs="Arial"/>
              </w:rPr>
              <w:t>Target p</w:t>
            </w:r>
            <w:r w:rsidRPr="00BD2408">
              <w:rPr>
                <w:rFonts w:ascii="Arial" w:hAnsi="Arial" w:cs="Arial"/>
              </w:rPr>
              <w:t xml:space="preserve">reviously </w:t>
            </w:r>
          </w:p>
          <w:p w14:paraId="198048DE" w14:textId="77777777" w:rsidR="00A3568F" w:rsidRDefault="00A3568F" w:rsidP="00A3568F">
            <w:pPr>
              <w:pStyle w:val="NoSpacing"/>
              <w:jc w:val="center"/>
              <w:rPr>
                <w:rFonts w:ascii="Arial" w:hAnsi="Arial" w:cs="Arial"/>
              </w:rPr>
            </w:pPr>
            <w:r w:rsidRPr="00BD2408">
              <w:rPr>
                <w:rFonts w:ascii="Arial" w:hAnsi="Arial" w:cs="Arial"/>
              </w:rPr>
              <w:t>8,400</w:t>
            </w:r>
          </w:p>
          <w:p w14:paraId="40B19A95" w14:textId="77777777" w:rsidR="0014549B" w:rsidRDefault="0014549B" w:rsidP="00A3568F">
            <w:pPr>
              <w:pStyle w:val="NoSpacing"/>
              <w:jc w:val="center"/>
              <w:rPr>
                <w:rFonts w:ascii="Arial" w:hAnsi="Arial" w:cs="Arial"/>
              </w:rPr>
            </w:pPr>
          </w:p>
          <w:p w14:paraId="7E41707B" w14:textId="77777777" w:rsidR="0014549B" w:rsidRDefault="0014549B" w:rsidP="00A3568F">
            <w:pPr>
              <w:pStyle w:val="NoSpacing"/>
              <w:jc w:val="center"/>
              <w:rPr>
                <w:rFonts w:ascii="Arial" w:hAnsi="Arial" w:cs="Arial"/>
              </w:rPr>
            </w:pPr>
          </w:p>
          <w:p w14:paraId="32F746DA" w14:textId="788415B3" w:rsidR="0014549B" w:rsidRPr="00A03613" w:rsidRDefault="0014549B" w:rsidP="00A3568F">
            <w:pPr>
              <w:pStyle w:val="NoSpacing"/>
              <w:jc w:val="center"/>
              <w:rPr>
                <w:rFonts w:ascii="Arial" w:hAnsi="Arial" w:cs="Arial"/>
              </w:rPr>
            </w:pPr>
          </w:p>
        </w:tc>
      </w:tr>
      <w:tr w:rsidR="002418EC" w14:paraId="461C7B70" w14:textId="77777777" w:rsidTr="002418EC">
        <w:trPr>
          <w:trHeight w:val="983"/>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DCFEB85" w14:textId="5E77F4AB" w:rsidR="002418EC" w:rsidRPr="00AB547C" w:rsidRDefault="002418EC" w:rsidP="002418EC">
            <w:pPr>
              <w:pStyle w:val="NoSpacing"/>
              <w:rPr>
                <w:rFonts w:ascii="Arial" w:hAnsi="Arial" w:cs="Arial"/>
              </w:rPr>
            </w:pPr>
            <w:r w:rsidRPr="00A03613">
              <w:rPr>
                <w:rFonts w:ascii="Arial" w:hAnsi="Arial" w:cs="Arial"/>
                <w:b/>
                <w:sz w:val="20"/>
                <w:szCs w:val="20"/>
              </w:rPr>
              <w:lastRenderedPageBreak/>
              <w:t>Performance Indicator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8AFED8" w14:textId="3AF23830" w:rsidR="002418EC" w:rsidRPr="00AB547C" w:rsidRDefault="002418EC" w:rsidP="002418EC">
            <w:pPr>
              <w:pStyle w:val="NoSpacing"/>
              <w:rPr>
                <w:rFonts w:ascii="Arial" w:hAnsi="Arial" w:cs="Arial"/>
              </w:rPr>
            </w:pPr>
            <w:r w:rsidRPr="00A03613">
              <w:rPr>
                <w:rFonts w:ascii="Arial" w:hAnsi="Arial" w:cs="Arial"/>
                <w:b/>
                <w:sz w:val="20"/>
                <w:szCs w:val="20"/>
              </w:rPr>
              <w:t>Frequency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5F80C9" w14:textId="79624AC6" w:rsidR="002418EC" w:rsidRPr="00AB547C" w:rsidRDefault="002418EC" w:rsidP="002418EC">
            <w:pPr>
              <w:pStyle w:val="NoSpacing"/>
              <w:rPr>
                <w:rFonts w:ascii="Arial" w:hAnsi="Arial" w:cs="Arial"/>
              </w:rPr>
            </w:pPr>
            <w:r w:rsidRPr="00A03613">
              <w:rPr>
                <w:rFonts w:ascii="Arial" w:hAnsi="Arial" w:cs="Arial"/>
                <w:b/>
                <w:sz w:val="20"/>
                <w:szCs w:val="20"/>
              </w:rPr>
              <w:t xml:space="preserve">Directorate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DC4A1A" w14:textId="4ADB76C1" w:rsidR="002418EC" w:rsidRPr="00AB547C" w:rsidRDefault="002418EC" w:rsidP="002418EC">
            <w:pPr>
              <w:pStyle w:val="NoSpacing"/>
              <w:rPr>
                <w:rFonts w:ascii="Arial" w:hAnsi="Arial" w:cs="Arial"/>
              </w:rPr>
            </w:pPr>
            <w:r w:rsidRPr="00A03613">
              <w:rPr>
                <w:rFonts w:ascii="Arial" w:hAnsi="Arial" w:cs="Arial"/>
                <w:b/>
                <w:sz w:val="20"/>
                <w:szCs w:val="20"/>
              </w:rPr>
              <w:t>Good 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3B24B" w14:textId="6067A872" w:rsidR="002418EC" w:rsidRPr="00AB547C" w:rsidRDefault="002418EC" w:rsidP="002418EC">
            <w:pPr>
              <w:pStyle w:val="NoSpacing"/>
              <w:jc w:val="center"/>
              <w:rPr>
                <w:rFonts w:ascii="Arial" w:hAnsi="Arial" w:cs="Arial"/>
              </w:rPr>
            </w:pPr>
            <w:r w:rsidRPr="00A03613">
              <w:rPr>
                <w:rFonts w:ascii="Arial" w:hAnsi="Arial" w:cs="Arial"/>
                <w:b/>
                <w:bCs/>
                <w:sz w:val="20"/>
                <w:szCs w:val="20"/>
              </w:rPr>
              <w:t>2019/20 Outturn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5ABC1D5" w14:textId="03B6118F" w:rsidR="002418EC" w:rsidRPr="62385CB5" w:rsidRDefault="002418EC" w:rsidP="002418EC">
            <w:pPr>
              <w:jc w:val="center"/>
              <w:rPr>
                <w:rFonts w:eastAsia="Arial" w:cs="Arial"/>
                <w:color w:val="000000" w:themeColor="text1"/>
                <w:sz w:val="22"/>
                <w:szCs w:val="22"/>
              </w:rPr>
            </w:pPr>
            <w:r w:rsidRPr="00A03613">
              <w:rPr>
                <w:rFonts w:cs="Arial"/>
                <w:b/>
                <w:bCs/>
                <w:sz w:val="20"/>
                <w:szCs w:val="20"/>
              </w:rPr>
              <w:t>2020/21 Outturn</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937F960" w14:textId="7ACC3CE3" w:rsidR="002418EC" w:rsidRPr="62385CB5" w:rsidRDefault="002418EC" w:rsidP="002418EC">
            <w:pPr>
              <w:pStyle w:val="NoSpacing"/>
              <w:jc w:val="center"/>
              <w:rPr>
                <w:rFonts w:ascii="Arial" w:eastAsia="Arial" w:hAnsi="Arial" w:cs="Arial"/>
              </w:rPr>
            </w:pPr>
            <w:r w:rsidRPr="00A03613">
              <w:rPr>
                <w:rFonts w:ascii="Arial" w:hAnsi="Arial" w:cs="Arial"/>
                <w:b/>
                <w:bCs/>
                <w:sz w:val="20"/>
                <w:szCs w:val="20"/>
              </w:rPr>
              <w:t>2021/22 Quarter 1 (April –June)</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0848DB89" w14:textId="77777777" w:rsidR="002418EC" w:rsidRPr="00A03613" w:rsidRDefault="002418EC" w:rsidP="002418EC">
            <w:pPr>
              <w:pStyle w:val="NoSpacing"/>
              <w:jc w:val="center"/>
              <w:rPr>
                <w:rFonts w:ascii="Arial" w:hAnsi="Arial" w:cs="Arial"/>
                <w:b/>
                <w:bCs/>
                <w:sz w:val="20"/>
                <w:szCs w:val="20"/>
              </w:rPr>
            </w:pPr>
            <w:r w:rsidRPr="00A03613">
              <w:rPr>
                <w:rFonts w:ascii="Arial" w:hAnsi="Arial" w:cs="Arial"/>
                <w:b/>
                <w:bCs/>
                <w:sz w:val="20"/>
                <w:szCs w:val="20"/>
              </w:rPr>
              <w:t>2021/22</w:t>
            </w:r>
          </w:p>
          <w:p w14:paraId="6E1ACF0A" w14:textId="77777777" w:rsidR="002418EC" w:rsidRPr="00A03613" w:rsidRDefault="002418EC" w:rsidP="002418EC">
            <w:pPr>
              <w:pStyle w:val="NoSpacing"/>
              <w:jc w:val="center"/>
              <w:rPr>
                <w:rFonts w:ascii="Arial" w:hAnsi="Arial" w:cs="Arial"/>
                <w:b/>
                <w:bCs/>
                <w:sz w:val="20"/>
                <w:szCs w:val="20"/>
              </w:rPr>
            </w:pPr>
            <w:r w:rsidRPr="00A03613">
              <w:rPr>
                <w:rFonts w:ascii="Arial" w:hAnsi="Arial" w:cs="Arial"/>
                <w:b/>
                <w:bCs/>
                <w:sz w:val="20"/>
                <w:szCs w:val="20"/>
              </w:rPr>
              <w:t>Quarter 2</w:t>
            </w:r>
          </w:p>
          <w:p w14:paraId="4366880E" w14:textId="15859C49" w:rsidR="002418EC" w:rsidRPr="00D15808" w:rsidRDefault="002418EC" w:rsidP="002418EC">
            <w:pPr>
              <w:pStyle w:val="NoSpacing"/>
              <w:jc w:val="center"/>
              <w:rPr>
                <w:rFonts w:ascii="Arial" w:eastAsia="Arial" w:hAnsi="Arial" w:cs="Arial"/>
              </w:rPr>
            </w:pPr>
            <w:r w:rsidRPr="00A03613">
              <w:rPr>
                <w:rFonts w:ascii="Arial" w:hAnsi="Arial" w:cs="Arial"/>
                <w:b/>
                <w:bCs/>
                <w:sz w:val="20"/>
                <w:szCs w:val="20"/>
              </w:rPr>
              <w:t>(July – Sep)</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1C9547E" w14:textId="77777777" w:rsidR="002418EC" w:rsidRDefault="002418EC" w:rsidP="002418EC">
            <w:pPr>
              <w:pStyle w:val="NoSpacing"/>
              <w:jc w:val="center"/>
              <w:rPr>
                <w:rFonts w:ascii="Arial" w:hAnsi="Arial" w:cs="Arial"/>
                <w:b/>
                <w:bCs/>
                <w:sz w:val="20"/>
                <w:szCs w:val="20"/>
              </w:rPr>
            </w:pPr>
            <w:r w:rsidRPr="6C28C597">
              <w:rPr>
                <w:rFonts w:ascii="Arial" w:hAnsi="Arial" w:cs="Arial"/>
                <w:b/>
                <w:bCs/>
                <w:sz w:val="20"/>
                <w:szCs w:val="20"/>
              </w:rPr>
              <w:t>2021/22</w:t>
            </w:r>
          </w:p>
          <w:p w14:paraId="63BB338C" w14:textId="77777777" w:rsidR="002418EC" w:rsidRDefault="002418EC" w:rsidP="002418EC">
            <w:pPr>
              <w:pStyle w:val="NoSpacing"/>
              <w:jc w:val="center"/>
              <w:rPr>
                <w:rFonts w:ascii="Arial" w:hAnsi="Arial" w:cs="Arial"/>
                <w:b/>
                <w:bCs/>
                <w:sz w:val="20"/>
                <w:szCs w:val="20"/>
              </w:rPr>
            </w:pPr>
            <w:r w:rsidRPr="6C28C597">
              <w:rPr>
                <w:rFonts w:ascii="Arial" w:hAnsi="Arial" w:cs="Arial"/>
                <w:b/>
                <w:bCs/>
                <w:sz w:val="20"/>
                <w:szCs w:val="20"/>
              </w:rPr>
              <w:t>Quarter 3</w:t>
            </w:r>
          </w:p>
          <w:p w14:paraId="4F7E530F" w14:textId="1FB57088" w:rsidR="002418EC" w:rsidRPr="6C28C597" w:rsidRDefault="002418EC" w:rsidP="002418EC">
            <w:pPr>
              <w:pStyle w:val="NoSpacing"/>
              <w:jc w:val="center"/>
              <w:rPr>
                <w:rFonts w:ascii="Arial" w:eastAsia="Arial" w:hAnsi="Arial" w:cs="Arial"/>
              </w:rPr>
            </w:pPr>
            <w:r w:rsidRPr="6C28C597">
              <w:rPr>
                <w:rFonts w:ascii="Arial" w:hAnsi="Arial" w:cs="Arial"/>
                <w:b/>
                <w:bCs/>
                <w:sz w:val="20"/>
                <w:szCs w:val="20"/>
              </w:rPr>
              <w:t>(Oct– Dec)</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C453559" w14:textId="0EAACFC0" w:rsidR="002418EC" w:rsidRPr="4E6013FB" w:rsidRDefault="002418EC" w:rsidP="002418EC">
            <w:pPr>
              <w:pStyle w:val="NoSpacing"/>
              <w:jc w:val="center"/>
              <w:rPr>
                <w:rFonts w:ascii="Arial" w:eastAsia="Arial" w:hAnsi="Arial" w:cs="Arial"/>
              </w:rPr>
            </w:pPr>
            <w:r w:rsidRPr="00A03613">
              <w:rPr>
                <w:rFonts w:ascii="Arial" w:hAnsi="Arial" w:cs="Arial"/>
                <w:b/>
                <w:bCs/>
                <w:sz w:val="20"/>
                <w:szCs w:val="20"/>
              </w:rPr>
              <w:t>2021/22 Target</w:t>
            </w:r>
          </w:p>
        </w:tc>
      </w:tr>
      <w:bookmarkEnd w:id="7"/>
      <w:tr w:rsidR="00A3568F" w14:paraId="1388ECB5" w14:textId="77777777" w:rsidTr="005A5C9E">
        <w:trPr>
          <w:trHeight w:val="1140"/>
        </w:trPr>
        <w:tc>
          <w:tcPr>
            <w:tcW w:w="1985" w:type="dxa"/>
            <w:tcBorders>
              <w:top w:val="single" w:sz="4" w:space="0" w:color="auto"/>
              <w:left w:val="single" w:sz="4" w:space="0" w:color="auto"/>
              <w:bottom w:val="single" w:sz="4" w:space="0" w:color="auto"/>
              <w:right w:val="single" w:sz="4" w:space="0" w:color="auto"/>
            </w:tcBorders>
          </w:tcPr>
          <w:p w14:paraId="186B65F9" w14:textId="77777777" w:rsidR="00A3568F" w:rsidRPr="00AB547C" w:rsidRDefault="00A3568F" w:rsidP="00A3568F">
            <w:pPr>
              <w:pStyle w:val="NoSpacing"/>
              <w:rPr>
                <w:rFonts w:ascii="Arial" w:hAnsi="Arial" w:cs="Arial"/>
              </w:rPr>
            </w:pPr>
            <w:r w:rsidRPr="00AB547C">
              <w:rPr>
                <w:rFonts w:ascii="Arial" w:hAnsi="Arial" w:cs="Arial"/>
              </w:rPr>
              <w:t>Number of e-downloads</w:t>
            </w:r>
            <w:r>
              <w:rPr>
                <w:rFonts w:ascii="Arial" w:hAnsi="Arial" w:cs="Arial"/>
              </w:rPr>
              <w:t xml:space="preserve"> </w:t>
            </w:r>
            <w:r w:rsidRPr="00AB547C">
              <w:rPr>
                <w:rFonts w:ascii="Arial" w:hAnsi="Arial" w:cs="Arial"/>
              </w:rPr>
              <w:t>(annual cumulative indicator)</w:t>
            </w:r>
            <w:r w:rsidRPr="00AB547C">
              <w:rPr>
                <w:rFonts w:ascii="Arial" w:hAnsi="Arial" w:cs="Arial"/>
              </w:rPr>
              <w:br/>
            </w:r>
          </w:p>
        </w:tc>
        <w:tc>
          <w:tcPr>
            <w:tcW w:w="1276" w:type="dxa"/>
            <w:tcBorders>
              <w:top w:val="single" w:sz="4" w:space="0" w:color="auto"/>
              <w:left w:val="single" w:sz="4" w:space="0" w:color="auto"/>
              <w:bottom w:val="single" w:sz="4" w:space="0" w:color="auto"/>
              <w:right w:val="single" w:sz="4" w:space="0" w:color="auto"/>
            </w:tcBorders>
          </w:tcPr>
          <w:p w14:paraId="6B33BC20" w14:textId="77777777" w:rsidR="00A3568F" w:rsidRPr="00AB547C" w:rsidRDefault="00A3568F" w:rsidP="00A3568F">
            <w:pPr>
              <w:pStyle w:val="NoSpacing"/>
              <w:rPr>
                <w:rFonts w:ascii="Arial" w:hAnsi="Arial" w:cs="Arial"/>
              </w:rPr>
            </w:pPr>
            <w:r w:rsidRPr="00AB547C">
              <w:rPr>
                <w:rFonts w:ascii="Arial" w:hAnsi="Arial" w:cs="Arial"/>
              </w:rPr>
              <w:t>Quarterly</w:t>
            </w:r>
          </w:p>
        </w:tc>
        <w:tc>
          <w:tcPr>
            <w:tcW w:w="1275" w:type="dxa"/>
            <w:tcBorders>
              <w:top w:val="single" w:sz="4" w:space="0" w:color="auto"/>
              <w:left w:val="single" w:sz="4" w:space="0" w:color="auto"/>
              <w:bottom w:val="single" w:sz="4" w:space="0" w:color="auto"/>
              <w:right w:val="single" w:sz="4" w:space="0" w:color="auto"/>
            </w:tcBorders>
          </w:tcPr>
          <w:p w14:paraId="3AC4FA15" w14:textId="77777777" w:rsidR="00A3568F" w:rsidRPr="00AB547C" w:rsidRDefault="00A3568F" w:rsidP="00A3568F">
            <w:pPr>
              <w:pStyle w:val="NoSpacing"/>
              <w:rPr>
                <w:rFonts w:ascii="Arial" w:hAnsi="Arial" w:cs="Arial"/>
              </w:rPr>
            </w:pPr>
            <w:r w:rsidRPr="00AB547C">
              <w:rPr>
                <w:rFonts w:ascii="Arial" w:hAnsi="Arial" w:cs="Arial"/>
              </w:rPr>
              <w:t xml:space="preserve">Education and Children's Services </w:t>
            </w:r>
          </w:p>
        </w:tc>
        <w:tc>
          <w:tcPr>
            <w:tcW w:w="851" w:type="dxa"/>
            <w:tcBorders>
              <w:top w:val="single" w:sz="4" w:space="0" w:color="auto"/>
              <w:left w:val="single" w:sz="4" w:space="0" w:color="auto"/>
              <w:bottom w:val="single" w:sz="4" w:space="0" w:color="auto"/>
              <w:right w:val="single" w:sz="4" w:space="0" w:color="auto"/>
            </w:tcBorders>
          </w:tcPr>
          <w:p w14:paraId="31BAC52E" w14:textId="77777777" w:rsidR="00A3568F" w:rsidRPr="00AB547C" w:rsidRDefault="00A3568F" w:rsidP="00A3568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2B4F79" w14:textId="77777777" w:rsidR="00A3568F" w:rsidRPr="00AB547C" w:rsidRDefault="00A3568F" w:rsidP="00A3568F">
            <w:pPr>
              <w:pStyle w:val="NoSpacing"/>
              <w:jc w:val="center"/>
              <w:rPr>
                <w:rFonts w:ascii="Arial" w:hAnsi="Arial" w:cs="Arial"/>
              </w:rPr>
            </w:pPr>
            <w:r w:rsidRPr="00AB547C">
              <w:rPr>
                <w:rFonts w:ascii="Arial" w:hAnsi="Arial" w:cs="Arial"/>
              </w:rPr>
              <w:t>353,007 (2019/20)</w:t>
            </w:r>
          </w:p>
        </w:tc>
        <w:tc>
          <w:tcPr>
            <w:tcW w:w="121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94C606" w14:textId="77777777" w:rsidR="00A3568F" w:rsidRDefault="00A3568F" w:rsidP="00A3568F">
            <w:pPr>
              <w:jc w:val="center"/>
              <w:rPr>
                <w:rFonts w:eastAsia="Arial" w:cs="Arial"/>
                <w:color w:val="000000" w:themeColor="text1"/>
                <w:sz w:val="22"/>
                <w:szCs w:val="22"/>
              </w:rPr>
            </w:pPr>
            <w:r w:rsidRPr="62385CB5">
              <w:rPr>
                <w:rFonts w:eastAsia="Arial" w:cs="Arial"/>
                <w:color w:val="000000" w:themeColor="text1"/>
                <w:sz w:val="22"/>
                <w:szCs w:val="22"/>
              </w:rPr>
              <w:t>930,301 (2020/21)</w:t>
            </w:r>
          </w:p>
        </w:tc>
        <w:tc>
          <w:tcPr>
            <w:tcW w:w="12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7DB1B0" w14:textId="77777777" w:rsidR="00A3568F" w:rsidRDefault="00A3568F" w:rsidP="00A3568F">
            <w:pPr>
              <w:pStyle w:val="NoSpacing"/>
              <w:jc w:val="center"/>
              <w:rPr>
                <w:rFonts w:ascii="Arial" w:eastAsia="Arial" w:hAnsi="Arial" w:cs="Arial"/>
              </w:rPr>
            </w:pPr>
            <w:r w:rsidRPr="62385CB5">
              <w:rPr>
                <w:rFonts w:ascii="Arial" w:eastAsia="Arial" w:hAnsi="Arial" w:cs="Arial"/>
              </w:rPr>
              <w:t>242,993</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16A127" w14:textId="77777777" w:rsidR="00A3568F" w:rsidRPr="00D15808" w:rsidRDefault="00A3568F" w:rsidP="00A3568F">
            <w:pPr>
              <w:pStyle w:val="NoSpacing"/>
              <w:jc w:val="center"/>
              <w:rPr>
                <w:rFonts w:ascii="Arial" w:eastAsia="Arial" w:hAnsi="Arial" w:cs="Arial"/>
              </w:rPr>
            </w:pPr>
            <w:r w:rsidRPr="00D15808">
              <w:rPr>
                <w:rFonts w:ascii="Arial" w:eastAsia="Arial" w:hAnsi="Arial" w:cs="Arial"/>
              </w:rPr>
              <w:t>228,301</w:t>
            </w:r>
          </w:p>
          <w:p w14:paraId="0F312485" w14:textId="77777777" w:rsidR="00A3568F" w:rsidRPr="00D15808" w:rsidRDefault="00A3568F" w:rsidP="00A3568F">
            <w:pPr>
              <w:pStyle w:val="NoSpacing"/>
              <w:jc w:val="center"/>
            </w:pPr>
          </w:p>
          <w:p w14:paraId="6B52C380" w14:textId="77777777" w:rsidR="00A3568F" w:rsidRPr="00D15808" w:rsidRDefault="00A3568F" w:rsidP="00A3568F">
            <w:pPr>
              <w:pStyle w:val="NoSpacing"/>
              <w:jc w:val="center"/>
            </w:pPr>
            <w:r w:rsidRPr="00D15808">
              <w:rPr>
                <w:rFonts w:ascii="Arial" w:eastAsia="Arial" w:hAnsi="Arial" w:cs="Arial"/>
              </w:rPr>
              <w:t>471,294</w:t>
            </w:r>
          </w:p>
          <w:p w14:paraId="612306C0" w14:textId="77777777" w:rsidR="00A3568F" w:rsidRPr="00D15808" w:rsidRDefault="00A3568F" w:rsidP="00A3568F">
            <w:pPr>
              <w:pStyle w:val="NoSpacing"/>
              <w:jc w:val="center"/>
              <w:rPr>
                <w:color w:val="000000" w:themeColor="text1"/>
              </w:rPr>
            </w:pPr>
            <w:r w:rsidRPr="00D15808">
              <w:rPr>
                <w:rFonts w:ascii="Arial" w:eastAsia="Arial" w:hAnsi="Arial" w:cs="Arial"/>
                <w:color w:val="000000" w:themeColor="text1"/>
              </w:rPr>
              <w:t>(cumulative total)</w:t>
            </w:r>
          </w:p>
          <w:p w14:paraId="17C6DA54" w14:textId="77777777" w:rsidR="00A3568F" w:rsidRPr="00D15808" w:rsidRDefault="00A3568F" w:rsidP="00A3568F">
            <w:pPr>
              <w:pStyle w:val="NoSpacing"/>
              <w:jc w:val="center"/>
            </w:pP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098A9F" w14:textId="4962F795" w:rsidR="00A3568F" w:rsidRDefault="00A3568F" w:rsidP="00A3568F">
            <w:pPr>
              <w:pStyle w:val="NoSpacing"/>
              <w:jc w:val="center"/>
              <w:rPr>
                <w:rFonts w:ascii="Arial" w:eastAsia="Arial" w:hAnsi="Arial" w:cs="Arial"/>
              </w:rPr>
            </w:pPr>
            <w:r w:rsidRPr="6C28C597">
              <w:rPr>
                <w:rFonts w:ascii="Arial" w:eastAsia="Arial" w:hAnsi="Arial" w:cs="Arial"/>
              </w:rPr>
              <w:t>248,729</w:t>
            </w:r>
          </w:p>
          <w:p w14:paraId="594D9A27" w14:textId="77777777" w:rsidR="00A3568F" w:rsidRDefault="00A3568F" w:rsidP="00A3568F">
            <w:pPr>
              <w:pStyle w:val="NoSpacing"/>
              <w:jc w:val="center"/>
            </w:pPr>
          </w:p>
          <w:p w14:paraId="4459158E" w14:textId="38ECDAE2" w:rsidR="00A3568F" w:rsidRDefault="00A3568F" w:rsidP="00A3568F">
            <w:pPr>
              <w:pStyle w:val="NoSpacing"/>
              <w:jc w:val="center"/>
            </w:pPr>
            <w:r w:rsidRPr="6C28C597">
              <w:rPr>
                <w:rFonts w:ascii="Arial" w:eastAsia="Arial" w:hAnsi="Arial" w:cs="Arial"/>
              </w:rPr>
              <w:t>720,023</w:t>
            </w:r>
          </w:p>
          <w:p w14:paraId="7BB959B2" w14:textId="77777777" w:rsidR="00A3568F" w:rsidRDefault="00A3568F" w:rsidP="00A3568F">
            <w:pPr>
              <w:pStyle w:val="NoSpacing"/>
              <w:jc w:val="center"/>
              <w:rPr>
                <w:color w:val="000000" w:themeColor="text1"/>
              </w:rPr>
            </w:pPr>
            <w:r w:rsidRPr="6C28C597">
              <w:rPr>
                <w:rFonts w:ascii="Arial" w:eastAsia="Arial" w:hAnsi="Arial" w:cs="Arial"/>
                <w:color w:val="000000" w:themeColor="text1"/>
              </w:rPr>
              <w:t>(cumulative total)</w:t>
            </w:r>
          </w:p>
          <w:p w14:paraId="6E71ED97" w14:textId="77777777" w:rsidR="00A3568F" w:rsidRDefault="00A3568F" w:rsidP="00A3568F">
            <w:pPr>
              <w:pStyle w:val="NoSpacing"/>
              <w:jc w:val="center"/>
            </w:pPr>
          </w:p>
          <w:p w14:paraId="74289C20" w14:textId="3005DB51" w:rsidR="00A3568F" w:rsidRDefault="00A3568F" w:rsidP="00A3568F">
            <w:pPr>
              <w:pStyle w:val="NoSpacing"/>
              <w:jc w:val="cente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2B2958B" w14:textId="77777777" w:rsidR="00A3568F" w:rsidRDefault="00A3568F" w:rsidP="00A3568F">
            <w:pPr>
              <w:pStyle w:val="NoSpacing"/>
              <w:jc w:val="center"/>
            </w:pPr>
            <w:r w:rsidRPr="4E6013FB">
              <w:rPr>
                <w:rFonts w:ascii="Arial" w:eastAsia="Arial" w:hAnsi="Arial" w:cs="Arial"/>
              </w:rPr>
              <w:t>800,000</w:t>
            </w:r>
          </w:p>
          <w:p w14:paraId="581FC4D8" w14:textId="4532AE2B" w:rsidR="00A3568F" w:rsidRPr="00BD2408" w:rsidRDefault="00A3568F" w:rsidP="00A3568F">
            <w:pPr>
              <w:pStyle w:val="NoSpacing"/>
              <w:jc w:val="center"/>
              <w:rPr>
                <w:rFonts w:ascii="Arial" w:hAnsi="Arial" w:cs="Arial"/>
              </w:rPr>
            </w:pPr>
            <w:r w:rsidRPr="00BD2408">
              <w:rPr>
                <w:rFonts w:ascii="Arial" w:eastAsia="Arial" w:hAnsi="Arial" w:cs="Arial"/>
                <w:color w:val="000000" w:themeColor="text1"/>
              </w:rPr>
              <w:t>Target reviewed</w:t>
            </w:r>
            <w:r>
              <w:rPr>
                <w:rFonts w:ascii="Arial" w:eastAsia="Arial" w:hAnsi="Arial" w:cs="Arial"/>
                <w:color w:val="000000" w:themeColor="text1"/>
              </w:rPr>
              <w:t xml:space="preserve"> Q2</w:t>
            </w:r>
            <w:r w:rsidRPr="00BD2408">
              <w:br/>
            </w:r>
            <w:r>
              <w:rPr>
                <w:rFonts w:ascii="Arial" w:hAnsi="Arial" w:cs="Arial"/>
              </w:rPr>
              <w:t>Target p</w:t>
            </w:r>
            <w:r w:rsidRPr="00BD2408">
              <w:rPr>
                <w:rFonts w:ascii="Arial" w:hAnsi="Arial" w:cs="Arial"/>
              </w:rPr>
              <w:t>reviously</w:t>
            </w:r>
          </w:p>
          <w:p w14:paraId="55CF7A05" w14:textId="16457A1B" w:rsidR="00A3568F" w:rsidRPr="00AB547C" w:rsidRDefault="00A3568F" w:rsidP="00A3568F">
            <w:pPr>
              <w:pStyle w:val="NoSpacing"/>
              <w:jc w:val="center"/>
              <w:rPr>
                <w:rFonts w:ascii="Arial" w:eastAsia="Arial" w:hAnsi="Arial" w:cs="Arial"/>
              </w:rPr>
            </w:pPr>
            <w:r w:rsidRPr="00BD2408">
              <w:rPr>
                <w:rFonts w:ascii="Arial" w:hAnsi="Arial" w:cs="Arial"/>
              </w:rPr>
              <w:t>293,908</w:t>
            </w:r>
          </w:p>
        </w:tc>
      </w:tr>
      <w:tr w:rsidR="00A3568F" w14:paraId="5FA72A3B" w14:textId="77777777" w:rsidTr="005A5C9E">
        <w:trPr>
          <w:trHeight w:val="1437"/>
        </w:trPr>
        <w:tc>
          <w:tcPr>
            <w:tcW w:w="1985" w:type="dxa"/>
            <w:tcBorders>
              <w:top w:val="single" w:sz="4" w:space="0" w:color="auto"/>
              <w:left w:val="single" w:sz="4" w:space="0" w:color="auto"/>
              <w:bottom w:val="single" w:sz="4" w:space="0" w:color="auto"/>
              <w:right w:val="single" w:sz="4" w:space="0" w:color="auto"/>
            </w:tcBorders>
          </w:tcPr>
          <w:p w14:paraId="06ED9BE5" w14:textId="2DB5DCD7" w:rsidR="00A3568F" w:rsidRPr="00AB547C" w:rsidRDefault="00A3568F" w:rsidP="00A3568F">
            <w:pPr>
              <w:pStyle w:val="NoSpacing"/>
              <w:rPr>
                <w:rFonts w:ascii="Arial" w:hAnsi="Arial" w:cs="Arial"/>
              </w:rPr>
            </w:pPr>
            <w:r w:rsidRPr="62385CB5">
              <w:rPr>
                <w:rFonts w:ascii="Arial" w:hAnsi="Arial" w:cs="Arial"/>
              </w:rPr>
              <w:t xml:space="preserve">Number of volunteers in </w:t>
            </w:r>
            <w:r>
              <w:rPr>
                <w:rFonts w:ascii="Arial" w:hAnsi="Arial" w:cs="Arial"/>
              </w:rPr>
              <w:t>l</w:t>
            </w:r>
            <w:r w:rsidRPr="62385CB5">
              <w:rPr>
                <w:rFonts w:ascii="Arial" w:hAnsi="Arial" w:cs="Arial"/>
              </w:rPr>
              <w:t xml:space="preserve">ibraries </w:t>
            </w:r>
          </w:p>
        </w:tc>
        <w:tc>
          <w:tcPr>
            <w:tcW w:w="1276" w:type="dxa"/>
            <w:tcBorders>
              <w:top w:val="single" w:sz="4" w:space="0" w:color="auto"/>
              <w:left w:val="single" w:sz="4" w:space="0" w:color="auto"/>
              <w:bottom w:val="single" w:sz="4" w:space="0" w:color="auto"/>
              <w:right w:val="single" w:sz="4" w:space="0" w:color="auto"/>
            </w:tcBorders>
          </w:tcPr>
          <w:p w14:paraId="6482663F" w14:textId="77777777" w:rsidR="00A3568F" w:rsidRPr="00AB547C" w:rsidRDefault="00A3568F" w:rsidP="00A3568F">
            <w:pPr>
              <w:pStyle w:val="NoSpacing"/>
              <w:rPr>
                <w:rFonts w:ascii="Arial" w:hAnsi="Arial" w:cs="Arial"/>
              </w:rPr>
            </w:pPr>
            <w:r w:rsidRPr="00AB547C">
              <w:rPr>
                <w:rFonts w:ascii="Arial" w:hAnsi="Arial" w:cs="Arial"/>
              </w:rPr>
              <w:t>Quarterly</w:t>
            </w:r>
          </w:p>
        </w:tc>
        <w:tc>
          <w:tcPr>
            <w:tcW w:w="1275" w:type="dxa"/>
            <w:tcBorders>
              <w:top w:val="single" w:sz="4" w:space="0" w:color="auto"/>
              <w:left w:val="single" w:sz="4" w:space="0" w:color="auto"/>
              <w:bottom w:val="single" w:sz="4" w:space="0" w:color="auto"/>
              <w:right w:val="single" w:sz="4" w:space="0" w:color="auto"/>
            </w:tcBorders>
          </w:tcPr>
          <w:p w14:paraId="799978B8" w14:textId="77777777" w:rsidR="00A3568F" w:rsidRPr="00AB547C" w:rsidRDefault="00A3568F" w:rsidP="00A3568F">
            <w:pPr>
              <w:pStyle w:val="NoSpacing"/>
              <w:rPr>
                <w:rFonts w:ascii="Arial" w:hAnsi="Arial" w:cs="Arial"/>
              </w:rPr>
            </w:pPr>
            <w:r w:rsidRPr="00AB547C">
              <w:rPr>
                <w:rFonts w:ascii="Arial" w:hAnsi="Arial" w:cs="Arial"/>
              </w:rPr>
              <w:t xml:space="preserve">Education and </w:t>
            </w:r>
            <w:r>
              <w:rPr>
                <w:rFonts w:ascii="Arial" w:hAnsi="Arial" w:cs="Arial"/>
              </w:rPr>
              <w:t>C</w:t>
            </w:r>
            <w:r w:rsidRPr="00AB547C">
              <w:rPr>
                <w:rFonts w:ascii="Arial" w:hAnsi="Arial" w:cs="Arial"/>
              </w:rPr>
              <w:t>hildren's Services</w:t>
            </w:r>
          </w:p>
        </w:tc>
        <w:tc>
          <w:tcPr>
            <w:tcW w:w="851" w:type="dxa"/>
            <w:tcBorders>
              <w:top w:val="single" w:sz="4" w:space="0" w:color="auto"/>
              <w:left w:val="single" w:sz="4" w:space="0" w:color="auto"/>
              <w:bottom w:val="single" w:sz="4" w:space="0" w:color="auto"/>
              <w:right w:val="single" w:sz="4" w:space="0" w:color="auto"/>
            </w:tcBorders>
          </w:tcPr>
          <w:p w14:paraId="0FB91206" w14:textId="77777777" w:rsidR="00A3568F" w:rsidRPr="00AB547C" w:rsidRDefault="00A3568F" w:rsidP="00A3568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F5284D" w14:textId="77777777" w:rsidR="00A3568F" w:rsidRPr="00AB547C" w:rsidRDefault="00A3568F" w:rsidP="00A3568F">
            <w:pPr>
              <w:pStyle w:val="NoSpacing"/>
              <w:jc w:val="center"/>
              <w:rPr>
                <w:rFonts w:ascii="Arial" w:hAnsi="Arial" w:cs="Arial"/>
              </w:rPr>
            </w:pPr>
            <w:r w:rsidRPr="00AB547C">
              <w:rPr>
                <w:rFonts w:ascii="Arial" w:hAnsi="Arial" w:cs="Arial"/>
              </w:rPr>
              <w:t>677 (2019/20)</w:t>
            </w:r>
          </w:p>
          <w:p w14:paraId="5D17EDAF" w14:textId="77777777" w:rsidR="00A3568F" w:rsidRPr="00AB547C" w:rsidRDefault="00A3568F" w:rsidP="00A3568F">
            <w:pPr>
              <w:pStyle w:val="NoSpacing"/>
              <w:jc w:val="center"/>
              <w:rPr>
                <w:rFonts w:ascii="Arial" w:hAnsi="Arial" w:cs="Arial"/>
              </w:rPr>
            </w:pPr>
          </w:p>
          <w:p w14:paraId="7A0638FF" w14:textId="77777777" w:rsidR="00A3568F" w:rsidRPr="00AB547C" w:rsidRDefault="00A3568F" w:rsidP="00A3568F">
            <w:pPr>
              <w:pStyle w:val="NoSpacing"/>
              <w:jc w:val="center"/>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shd w:val="clear" w:color="auto" w:fill="FF0000"/>
          </w:tcPr>
          <w:p w14:paraId="5BC59A74" w14:textId="77777777" w:rsidR="00A3568F" w:rsidRPr="00F054E3" w:rsidRDefault="00A3568F" w:rsidP="00A3568F">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167</w:t>
            </w:r>
          </w:p>
          <w:p w14:paraId="46C32BE2" w14:textId="77777777" w:rsidR="00A3568F" w:rsidRPr="00F054E3" w:rsidRDefault="00A3568F" w:rsidP="00A3568F">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(2020/21)</w:t>
            </w:r>
          </w:p>
        </w:tc>
        <w:tc>
          <w:tcPr>
            <w:tcW w:w="1291" w:type="dxa"/>
            <w:tcBorders>
              <w:top w:val="single" w:sz="4" w:space="0" w:color="auto"/>
              <w:left w:val="single" w:sz="4" w:space="0" w:color="auto"/>
              <w:bottom w:val="single" w:sz="4" w:space="0" w:color="auto"/>
              <w:right w:val="single" w:sz="4" w:space="0" w:color="auto"/>
            </w:tcBorders>
            <w:shd w:val="clear" w:color="auto" w:fill="FF0000"/>
          </w:tcPr>
          <w:p w14:paraId="48774B7A" w14:textId="77777777" w:rsidR="00A3568F" w:rsidRPr="00F054E3" w:rsidRDefault="00A3568F" w:rsidP="00A3568F">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143</w:t>
            </w:r>
          </w:p>
        </w:tc>
        <w:tc>
          <w:tcPr>
            <w:tcW w:w="176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976103" w14:textId="77777777" w:rsidR="00A3568F" w:rsidRPr="00F70079" w:rsidRDefault="00A3568F" w:rsidP="00A3568F">
            <w:pPr>
              <w:pStyle w:val="NoSpacing"/>
              <w:jc w:val="center"/>
              <w:rPr>
                <w:rFonts w:ascii="Arial" w:eastAsia="Arial" w:hAnsi="Arial" w:cs="Arial"/>
                <w:highlight w:val="yellow"/>
              </w:rPr>
            </w:pPr>
            <w:r w:rsidRPr="00D15808">
              <w:rPr>
                <w:rFonts w:ascii="Arial" w:eastAsia="Arial" w:hAnsi="Arial" w:cs="Arial"/>
              </w:rPr>
              <w:t>78</w:t>
            </w:r>
          </w:p>
        </w:tc>
        <w:tc>
          <w:tcPr>
            <w:tcW w:w="17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D46B662" w14:textId="586DC15E" w:rsidR="00A3568F" w:rsidRPr="6C28C597" w:rsidRDefault="00A3568F" w:rsidP="00A3568F">
            <w:pPr>
              <w:pStyle w:val="NoSpacing"/>
              <w:jc w:val="center"/>
              <w:rPr>
                <w:rFonts w:ascii="Arial" w:eastAsia="Arial" w:hAnsi="Arial" w:cs="Arial"/>
              </w:rPr>
            </w:pPr>
            <w:r w:rsidRPr="6C28C597">
              <w:rPr>
                <w:rFonts w:ascii="Arial" w:eastAsia="Arial" w:hAnsi="Arial" w:cs="Arial"/>
              </w:rPr>
              <w:t>310</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17173D4" w14:textId="77777777" w:rsidR="00A3568F" w:rsidRDefault="00A3568F" w:rsidP="00A3568F">
            <w:pPr>
              <w:pStyle w:val="NoSpacing"/>
              <w:jc w:val="center"/>
            </w:pPr>
            <w:r w:rsidRPr="4E6013FB">
              <w:rPr>
                <w:rFonts w:ascii="Arial" w:eastAsia="Arial" w:hAnsi="Arial" w:cs="Arial"/>
              </w:rPr>
              <w:t>250</w:t>
            </w:r>
          </w:p>
          <w:p w14:paraId="78754748" w14:textId="27FFAD7A" w:rsidR="00A3568F" w:rsidRPr="00BD2408" w:rsidRDefault="00A3568F" w:rsidP="00A3568F">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w:t>
            </w:r>
            <w:r>
              <w:rPr>
                <w:rFonts w:ascii="Arial" w:eastAsia="Arial" w:hAnsi="Arial" w:cs="Arial"/>
                <w:color w:val="000000" w:themeColor="text1"/>
              </w:rPr>
              <w:t xml:space="preserve"> Q2</w:t>
            </w:r>
          </w:p>
          <w:p w14:paraId="463C88FF" w14:textId="4E8660A2" w:rsidR="00A3568F" w:rsidRPr="00BD2408" w:rsidRDefault="00A3568F" w:rsidP="00A3568F">
            <w:pPr>
              <w:pStyle w:val="NoSpacing"/>
              <w:jc w:val="center"/>
              <w:rPr>
                <w:rFonts w:ascii="Arial" w:eastAsia="Arial" w:hAnsi="Arial" w:cs="Arial"/>
                <w:color w:val="000000" w:themeColor="text1"/>
              </w:rPr>
            </w:pPr>
            <w:r>
              <w:rPr>
                <w:rFonts w:ascii="Arial" w:eastAsia="Arial" w:hAnsi="Arial" w:cs="Arial"/>
                <w:color w:val="000000" w:themeColor="text1"/>
              </w:rPr>
              <w:t>Target p</w:t>
            </w:r>
            <w:r w:rsidRPr="00BD2408">
              <w:rPr>
                <w:rFonts w:ascii="Arial" w:eastAsia="Arial" w:hAnsi="Arial" w:cs="Arial"/>
                <w:color w:val="000000" w:themeColor="text1"/>
              </w:rPr>
              <w:t>reviously</w:t>
            </w:r>
          </w:p>
          <w:p w14:paraId="1B607CF9" w14:textId="14360EDB" w:rsidR="00A3568F" w:rsidRPr="00AB547C" w:rsidRDefault="00A3568F" w:rsidP="00A3568F">
            <w:pPr>
              <w:pStyle w:val="NoSpacing"/>
              <w:jc w:val="center"/>
            </w:pPr>
            <w:r w:rsidRPr="00BD2408">
              <w:rPr>
                <w:rFonts w:ascii="Arial" w:eastAsia="Arial" w:hAnsi="Arial" w:cs="Arial"/>
                <w:color w:val="000000" w:themeColor="text1"/>
              </w:rPr>
              <w:t>600</w:t>
            </w:r>
          </w:p>
        </w:tc>
      </w:tr>
    </w:tbl>
    <w:p w14:paraId="441BE3B4" w14:textId="77777777" w:rsidR="00170D99" w:rsidRDefault="00170D99" w:rsidP="00170D99">
      <w:pPr>
        <w:rPr>
          <w:b/>
          <w:bCs/>
          <w:sz w:val="22"/>
          <w:szCs w:val="22"/>
          <w:lang w:eastAsia="en-GB"/>
        </w:rPr>
      </w:pPr>
    </w:p>
    <w:p w14:paraId="01AD2BE1" w14:textId="18FC681B" w:rsidR="00170D99" w:rsidRDefault="00170D99">
      <w:r w:rsidRPr="6C28C597">
        <w:rPr>
          <w:b/>
          <w:bCs/>
          <w:lang w:eastAsia="en-GB"/>
        </w:rPr>
        <w:t>Use of Libraries</w:t>
      </w:r>
      <w:r w:rsidRPr="6C28C597">
        <w:rPr>
          <w:lang w:eastAsia="en-GB"/>
        </w:rPr>
        <w:t xml:space="preserve">. </w:t>
      </w:r>
      <w:r w:rsidR="4142B404" w:rsidRPr="6C28C597">
        <w:rPr>
          <w:lang w:eastAsia="en-GB"/>
        </w:rPr>
        <w:t xml:space="preserve">Quarter 3 2021/22 shows a continued steady recovery of visitor numbers, no doubt encouraged by the gradual return of in-library events over the quarter. "Plan B" Covid safety precautions remained in place within the buildings until January 2022, leading to some opening hours being lost and restrictions on capacity. </w:t>
      </w:r>
      <w:r w:rsidR="00E11653">
        <w:rPr>
          <w:lang w:eastAsia="en-GB"/>
        </w:rPr>
        <w:t>The n</w:t>
      </w:r>
      <w:r w:rsidR="4142B404" w:rsidRPr="6C28C597">
        <w:rPr>
          <w:lang w:eastAsia="en-GB"/>
        </w:rPr>
        <w:t>ew target was set taking these limitations into account and will be revised as the situation hopefully improves.</w:t>
      </w:r>
    </w:p>
    <w:p w14:paraId="7A53C469" w14:textId="24F92939" w:rsidR="002418EC" w:rsidRDefault="00170D99" w:rsidP="6C28C597">
      <w:pPr>
        <w:jc w:val="left"/>
        <w:rPr>
          <w:lang w:eastAsia="en-GB"/>
        </w:rPr>
      </w:pPr>
      <w:r w:rsidRPr="6C28C597">
        <w:rPr>
          <w:b/>
          <w:bCs/>
          <w:lang w:eastAsia="en-GB"/>
        </w:rPr>
        <w:t xml:space="preserve">People's network (PNET) sessions. </w:t>
      </w:r>
      <w:r w:rsidRPr="6C28C597">
        <w:rPr>
          <w:lang w:eastAsia="en-GB"/>
        </w:rPr>
        <w:t xml:space="preserve"> </w:t>
      </w:r>
      <w:r w:rsidR="47A94A68" w:rsidRPr="6C28C597">
        <w:rPr>
          <w:lang w:eastAsia="en-GB"/>
        </w:rPr>
        <w:t>Usage during Quarter 3 ha</w:t>
      </w:r>
      <w:r w:rsidR="00E11653">
        <w:rPr>
          <w:lang w:eastAsia="en-GB"/>
        </w:rPr>
        <w:t>s</w:t>
      </w:r>
      <w:r w:rsidR="47A94A68" w:rsidRPr="6C28C597">
        <w:rPr>
          <w:lang w:eastAsia="en-GB"/>
        </w:rPr>
        <w:t xml:space="preserve"> continued to recover, with all terminals now available, though still being subject to some covid safety regulations. It is hoped this trend will continue as users become more aware of the computer upgrades that have been carried out during the "Network Refresh", especially with regard to improvements in the free </w:t>
      </w:r>
      <w:proofErr w:type="spellStart"/>
      <w:r w:rsidR="47A94A68" w:rsidRPr="6C28C597">
        <w:rPr>
          <w:lang w:eastAsia="en-GB"/>
        </w:rPr>
        <w:t>WiFi</w:t>
      </w:r>
      <w:proofErr w:type="spellEnd"/>
      <w:r w:rsidR="47A94A68" w:rsidRPr="6C28C597">
        <w:rPr>
          <w:lang w:eastAsia="en-GB"/>
        </w:rPr>
        <w:t xml:space="preserve"> service, with improved broadband, </w:t>
      </w:r>
      <w:proofErr w:type="spellStart"/>
      <w:r w:rsidR="47A94A68" w:rsidRPr="6C28C597">
        <w:rPr>
          <w:lang w:eastAsia="en-GB"/>
        </w:rPr>
        <w:t>WiFi</w:t>
      </w:r>
      <w:proofErr w:type="spellEnd"/>
      <w:r w:rsidR="47A94A68" w:rsidRPr="6C28C597">
        <w:rPr>
          <w:lang w:eastAsia="en-GB"/>
        </w:rPr>
        <w:t xml:space="preserve"> printing and more space being provided to encourage users to bring in their own devices. It is hoped to be able to collect data on </w:t>
      </w:r>
      <w:proofErr w:type="spellStart"/>
      <w:r w:rsidR="47A94A68" w:rsidRPr="6C28C597">
        <w:rPr>
          <w:lang w:eastAsia="en-GB"/>
        </w:rPr>
        <w:t>WiFi</w:t>
      </w:r>
      <w:proofErr w:type="spellEnd"/>
      <w:r w:rsidR="47A94A68" w:rsidRPr="6C28C597">
        <w:rPr>
          <w:lang w:eastAsia="en-GB"/>
        </w:rPr>
        <w:t xml:space="preserve"> usage to include in the usage figures shortly and target</w:t>
      </w:r>
      <w:r w:rsidR="00CF52C5">
        <w:rPr>
          <w:lang w:eastAsia="en-GB"/>
        </w:rPr>
        <w:t>s</w:t>
      </w:r>
      <w:r w:rsidR="47A94A68" w:rsidRPr="6C28C597">
        <w:rPr>
          <w:lang w:eastAsia="en-GB"/>
        </w:rPr>
        <w:t xml:space="preserve"> will be reviewed as appropriate.</w:t>
      </w:r>
    </w:p>
    <w:p w14:paraId="55A99226" w14:textId="77777777" w:rsidR="002418EC" w:rsidRDefault="002418EC" w:rsidP="6C28C597">
      <w:pPr>
        <w:jc w:val="left"/>
        <w:rPr>
          <w:lang w:eastAsia="en-GB"/>
        </w:rPr>
      </w:pPr>
    </w:p>
    <w:p w14:paraId="15F128F0" w14:textId="6C2128AF" w:rsidR="00170D99" w:rsidRDefault="00170D99" w:rsidP="6C28C597">
      <w:pPr>
        <w:jc w:val="left"/>
        <w:rPr>
          <w:lang w:eastAsia="en-GB"/>
        </w:rPr>
      </w:pPr>
      <w:r>
        <w:lastRenderedPageBreak/>
        <w:br/>
      </w:r>
      <w:r w:rsidRPr="6C28C597">
        <w:rPr>
          <w:b/>
          <w:bCs/>
          <w:lang w:eastAsia="en-GB"/>
        </w:rPr>
        <w:t>Library events.</w:t>
      </w:r>
      <w:r w:rsidRPr="6C28C597">
        <w:rPr>
          <w:lang w:eastAsia="en-GB"/>
        </w:rPr>
        <w:t xml:space="preserve"> </w:t>
      </w:r>
      <w:r w:rsidR="1AB2C25B" w:rsidRPr="6C28C597">
        <w:rPr>
          <w:lang w:eastAsia="en-GB"/>
        </w:rPr>
        <w:t>This area has recovered significantly during Quarter 3 with in-library events now permitted and most site</w:t>
      </w:r>
      <w:r w:rsidR="00EB391A">
        <w:rPr>
          <w:lang w:eastAsia="en-GB"/>
        </w:rPr>
        <w:t>s</w:t>
      </w:r>
      <w:r w:rsidR="1AB2C25B" w:rsidRPr="6C28C597">
        <w:rPr>
          <w:lang w:eastAsia="en-GB"/>
        </w:rPr>
        <w:t xml:space="preserve"> starting to rebuild their programmes of individual events and regular activities. A new in-house online medium for listing and promotion of events in Libraries, Museums and Archives</w:t>
      </w:r>
      <w:r w:rsidR="00947C33">
        <w:rPr>
          <w:lang w:eastAsia="en-GB"/>
        </w:rPr>
        <w:t>,</w:t>
      </w:r>
      <w:r w:rsidR="1AB2C25B" w:rsidRPr="6C28C597">
        <w:rPr>
          <w:lang w:eastAsia="en-GB"/>
        </w:rPr>
        <w:t xml:space="preserve"> "What's On" is now available on the county council website with links from each library page and from a handful of listings in October has grown rapidly. As well as data from "What's On" to provide counts of individual events, it is also intended to review the collection of attendance figures at all events to provide a means of accurate and consistent recording that would illustrate the success of such events.</w:t>
      </w:r>
    </w:p>
    <w:p w14:paraId="45ACAEDF" w14:textId="48E8198E" w:rsidR="00170D99" w:rsidRPr="003410DD" w:rsidRDefault="00170D99" w:rsidP="00170D99">
      <w:pPr>
        <w:rPr>
          <w:highlight w:val="yellow"/>
          <w:lang w:eastAsia="en-GB"/>
        </w:rPr>
      </w:pPr>
      <w:r w:rsidRPr="003410DD">
        <w:rPr>
          <w:b/>
          <w:bCs/>
          <w:lang w:eastAsia="en-GB"/>
        </w:rPr>
        <w:t>e-downloads.</w:t>
      </w:r>
      <w:r w:rsidRPr="003410DD">
        <w:rPr>
          <w:lang w:eastAsia="en-GB"/>
        </w:rPr>
        <w:t xml:space="preserve"> The eBook service has seen </w:t>
      </w:r>
      <w:r w:rsidR="00A72E9B">
        <w:rPr>
          <w:lang w:eastAsia="en-GB"/>
        </w:rPr>
        <w:t xml:space="preserve">a </w:t>
      </w:r>
      <w:r w:rsidRPr="003410DD">
        <w:rPr>
          <w:lang w:eastAsia="en-GB"/>
        </w:rPr>
        <w:t>significant increase in registered members and usage throughout the pandemic restrictions</w:t>
      </w:r>
      <w:r w:rsidR="00A72E9B">
        <w:rPr>
          <w:lang w:eastAsia="en-GB"/>
        </w:rPr>
        <w:t>,</w:t>
      </w:r>
      <w:r w:rsidRPr="003410DD">
        <w:rPr>
          <w:lang w:eastAsia="en-GB"/>
        </w:rPr>
        <w:t xml:space="preserve"> with new formats </w:t>
      </w:r>
      <w:r w:rsidR="00A72E9B">
        <w:rPr>
          <w:lang w:eastAsia="en-GB"/>
        </w:rPr>
        <w:t>such as</w:t>
      </w:r>
      <w:r w:rsidRPr="003410DD">
        <w:rPr>
          <w:lang w:eastAsia="en-GB"/>
        </w:rPr>
        <w:t xml:space="preserve"> </w:t>
      </w:r>
      <w:proofErr w:type="spellStart"/>
      <w:r w:rsidRPr="003410DD">
        <w:rPr>
          <w:lang w:eastAsia="en-GB"/>
        </w:rPr>
        <w:t>eMagazines</w:t>
      </w:r>
      <w:proofErr w:type="spellEnd"/>
      <w:r w:rsidRPr="003410DD">
        <w:rPr>
          <w:lang w:eastAsia="en-GB"/>
        </w:rPr>
        <w:t xml:space="preserve">, </w:t>
      </w:r>
      <w:proofErr w:type="spellStart"/>
      <w:r w:rsidRPr="003410DD">
        <w:rPr>
          <w:lang w:eastAsia="en-GB"/>
        </w:rPr>
        <w:t>eNewspapers</w:t>
      </w:r>
      <w:proofErr w:type="spellEnd"/>
      <w:r w:rsidRPr="003410DD">
        <w:rPr>
          <w:lang w:eastAsia="en-GB"/>
        </w:rPr>
        <w:t xml:space="preserve"> and </w:t>
      </w:r>
      <w:proofErr w:type="spellStart"/>
      <w:r w:rsidRPr="003410DD">
        <w:rPr>
          <w:lang w:eastAsia="en-GB"/>
        </w:rPr>
        <w:t>eComics</w:t>
      </w:r>
      <w:proofErr w:type="spellEnd"/>
      <w:r w:rsidRPr="003410DD">
        <w:rPr>
          <w:lang w:eastAsia="en-GB"/>
        </w:rPr>
        <w:t xml:space="preserve"> being made available</w:t>
      </w:r>
      <w:r w:rsidR="00A72E9B">
        <w:rPr>
          <w:lang w:eastAsia="en-GB"/>
        </w:rPr>
        <w:t>. T</w:t>
      </w:r>
      <w:r w:rsidR="29A3B984" w:rsidRPr="6C28C597">
        <w:rPr>
          <w:lang w:eastAsia="en-GB"/>
        </w:rPr>
        <w:t>his quarter has seen</w:t>
      </w:r>
      <w:r w:rsidRPr="003410DD">
        <w:rPr>
          <w:lang w:eastAsia="en-GB"/>
        </w:rPr>
        <w:t xml:space="preserve"> some </w:t>
      </w:r>
      <w:r w:rsidR="29A3B984" w:rsidRPr="6C28C597">
        <w:rPr>
          <w:lang w:eastAsia="en-GB"/>
        </w:rPr>
        <w:t xml:space="preserve">of the </w:t>
      </w:r>
      <w:r w:rsidRPr="003410DD">
        <w:rPr>
          <w:lang w:eastAsia="en-GB"/>
        </w:rPr>
        <w:t xml:space="preserve">issues with obtaining data from a new supplier </w:t>
      </w:r>
      <w:r w:rsidR="29A3B984" w:rsidRPr="6C28C597">
        <w:rPr>
          <w:lang w:eastAsia="en-GB"/>
        </w:rPr>
        <w:t>resolved.</w:t>
      </w:r>
      <w:r w:rsidRPr="003410DD">
        <w:rPr>
          <w:lang w:eastAsia="en-GB"/>
        </w:rPr>
        <w:t xml:space="preserve"> Whilst </w:t>
      </w:r>
      <w:r w:rsidR="29A3B984" w:rsidRPr="6C28C597">
        <w:rPr>
          <w:lang w:eastAsia="en-GB"/>
        </w:rPr>
        <w:t>Quarter 3</w:t>
      </w:r>
      <w:r w:rsidRPr="003410DD">
        <w:rPr>
          <w:lang w:eastAsia="en-GB"/>
        </w:rPr>
        <w:t xml:space="preserve"> has seen some levelling off in usage, </w:t>
      </w:r>
      <w:r w:rsidR="29A3B984" w:rsidRPr="6C28C597">
        <w:rPr>
          <w:lang w:eastAsia="en-GB"/>
        </w:rPr>
        <w:t xml:space="preserve">this has been noted as a typical seasonal trend and </w:t>
      </w:r>
      <w:r w:rsidRPr="003410DD">
        <w:rPr>
          <w:lang w:eastAsia="en-GB"/>
        </w:rPr>
        <w:t xml:space="preserve">it appears those who have moved to the electronic formats are staying with them, which is reflected in the new target set. </w:t>
      </w:r>
      <w:r w:rsidR="29A3B984" w:rsidRPr="6C28C597">
        <w:rPr>
          <w:lang w:eastAsia="en-GB"/>
        </w:rPr>
        <w:t xml:space="preserve"> </w:t>
      </w:r>
      <w:r w:rsidRPr="6C28C597">
        <w:rPr>
          <w:lang w:eastAsia="en-GB"/>
        </w:rPr>
        <w:t xml:space="preserve"> </w:t>
      </w:r>
    </w:p>
    <w:p w14:paraId="3F42C7F2" w14:textId="1F00F2A6" w:rsidR="00C53D54" w:rsidRPr="003410DD" w:rsidRDefault="00170D99" w:rsidP="00170D99">
      <w:r w:rsidRPr="003410DD">
        <w:rPr>
          <w:b/>
          <w:bCs/>
          <w:lang w:eastAsia="en-GB"/>
        </w:rPr>
        <w:t>Volunteers in libraries</w:t>
      </w:r>
      <w:r w:rsidRPr="003410DD">
        <w:rPr>
          <w:lang w:eastAsia="en-GB"/>
        </w:rPr>
        <w:t xml:space="preserve">. </w:t>
      </w:r>
      <w:r w:rsidR="1D2B3DA9" w:rsidRPr="6C28C597">
        <w:rPr>
          <w:lang w:eastAsia="en-GB"/>
        </w:rPr>
        <w:t>Note: Figures</w:t>
      </w:r>
      <w:r w:rsidRPr="003410DD">
        <w:rPr>
          <w:lang w:eastAsia="en-GB"/>
        </w:rPr>
        <w:t xml:space="preserve"> are not cumulative as month on month it is likely many of the same individuals will make up much of the total. </w:t>
      </w:r>
      <w:r w:rsidR="1D2B3DA9" w:rsidRPr="6C28C597">
        <w:rPr>
          <w:lang w:eastAsia="en-GB"/>
        </w:rPr>
        <w:t>Quarter 3 has seen a significant upturn in figures, as volunteers were approved to return into libraries from October 2021 and in-library events began to become re-established.</w:t>
      </w:r>
    </w:p>
    <w:p w14:paraId="52B30E6F" w14:textId="11D8C04B" w:rsidR="00DE6588" w:rsidRDefault="00DE6588" w:rsidP="00BA50AE">
      <w:pPr>
        <w:rPr>
          <w:rFonts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DE6588" w:rsidRPr="00A13FE9" w14:paraId="7B907F50" w14:textId="77777777" w:rsidTr="001D2D9F">
        <w:tc>
          <w:tcPr>
            <w:tcW w:w="4536" w:type="dxa"/>
            <w:tcBorders>
              <w:top w:val="single" w:sz="4" w:space="0" w:color="auto"/>
              <w:left w:val="single" w:sz="4" w:space="0" w:color="auto"/>
              <w:bottom w:val="single" w:sz="4" w:space="0" w:color="auto"/>
              <w:right w:val="single" w:sz="4" w:space="0" w:color="auto"/>
            </w:tcBorders>
            <w:hideMark/>
          </w:tcPr>
          <w:p w14:paraId="75D62EAD" w14:textId="77777777" w:rsidR="00DE6588" w:rsidRPr="00A13FE9" w:rsidRDefault="00DE6588" w:rsidP="00AF6B01">
            <w:pPr>
              <w:pStyle w:val="NoSpacing"/>
              <w:rPr>
                <w:rFonts w:ascii="Arial" w:hAnsi="Arial" w:cs="Arial"/>
                <w:b/>
              </w:rPr>
            </w:pPr>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34C98A66" w14:textId="77777777" w:rsidR="00DE6588" w:rsidRPr="00A13FE9" w:rsidRDefault="00DE6588" w:rsidP="00AF6B01">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14:paraId="32CF4618" w14:textId="77777777" w:rsidR="00DE6588" w:rsidRPr="00A13FE9" w:rsidRDefault="00DE6588" w:rsidP="00AF6B01">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14:paraId="54C0D4CB" w14:textId="77777777" w:rsidR="00DE6588" w:rsidRPr="00A13FE9" w:rsidRDefault="00DE6588" w:rsidP="00AF6B01">
            <w:pPr>
              <w:pStyle w:val="NoSpacing"/>
              <w:spacing w:line="252" w:lineRule="auto"/>
              <w:rPr>
                <w:rFonts w:ascii="Arial" w:eastAsiaTheme="minorHAnsi" w:hAnsi="Arial" w:cs="Arial"/>
                <w:b/>
                <w:bCs/>
              </w:rPr>
            </w:pPr>
            <w:r w:rsidRPr="00A13FE9">
              <w:rPr>
                <w:rFonts w:ascii="Arial" w:hAnsi="Arial" w:cs="Arial"/>
                <w:b/>
                <w:bCs/>
              </w:rPr>
              <w:t>Current Performance</w:t>
            </w:r>
          </w:p>
          <w:p w14:paraId="04B053EE" w14:textId="77777777" w:rsidR="00DE6588" w:rsidRPr="00A13FE9" w:rsidRDefault="00DE6588" w:rsidP="00AF6B01">
            <w:pPr>
              <w:pStyle w:val="NoSpacing"/>
              <w:spacing w:line="252" w:lineRule="auto"/>
              <w:rPr>
                <w:rFonts w:ascii="Arial" w:eastAsiaTheme="minorHAnsi" w:hAnsi="Arial" w:cs="Arial"/>
                <w:b/>
                <w:bCs/>
              </w:rPr>
            </w:pPr>
          </w:p>
        </w:tc>
      </w:tr>
      <w:tr w:rsidR="00DE6588" w:rsidRPr="00A13FE9" w14:paraId="6A84674D" w14:textId="77777777" w:rsidTr="001D2D9F">
        <w:tc>
          <w:tcPr>
            <w:tcW w:w="4536" w:type="dxa"/>
            <w:tcBorders>
              <w:top w:val="single" w:sz="4" w:space="0" w:color="auto"/>
              <w:left w:val="single" w:sz="4" w:space="0" w:color="auto"/>
              <w:bottom w:val="single" w:sz="4" w:space="0" w:color="auto"/>
              <w:right w:val="single" w:sz="4" w:space="0" w:color="auto"/>
            </w:tcBorders>
            <w:hideMark/>
          </w:tcPr>
          <w:p w14:paraId="63B9CE67" w14:textId="77777777" w:rsidR="0057517A" w:rsidRPr="0057517A" w:rsidRDefault="0057517A" w:rsidP="0057517A">
            <w:pPr>
              <w:autoSpaceDE/>
              <w:autoSpaceDN/>
              <w:adjustRightInd/>
              <w:spacing w:after="160" w:line="259" w:lineRule="auto"/>
              <w:contextualSpacing/>
              <w:jc w:val="left"/>
              <w:rPr>
                <w:rFonts w:eastAsiaTheme="minorHAnsi" w:cs="Arial"/>
                <w:color w:val="auto"/>
                <w:sz w:val="22"/>
                <w:szCs w:val="22"/>
              </w:rPr>
            </w:pPr>
            <w:r w:rsidRPr="0057517A">
              <w:rPr>
                <w:rFonts w:eastAsiaTheme="minorHAnsi" w:cs="Arial"/>
                <w:color w:val="auto"/>
                <w:sz w:val="22"/>
                <w:szCs w:val="22"/>
              </w:rPr>
              <w:t>Use of libraries</w:t>
            </w:r>
          </w:p>
          <w:p w14:paraId="7171268E" w14:textId="08B35B14" w:rsidR="00DE6588" w:rsidRPr="00A13FE9" w:rsidRDefault="00DE6588" w:rsidP="00AF6B01">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14:paraId="1CE11797" w14:textId="77777777" w:rsidR="00DE6588" w:rsidRPr="00A13FE9" w:rsidRDefault="00DE6588" w:rsidP="00AF6B01">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0252B508" w14:textId="6AC410DF" w:rsidR="00DE6588" w:rsidRPr="00A13FE9" w:rsidRDefault="0057517A" w:rsidP="00AF6B01">
            <w:pPr>
              <w:pStyle w:val="NoSpacing"/>
              <w:rPr>
                <w:rFonts w:ascii="Arial" w:hAnsi="Arial" w:cs="Arial"/>
                <w:color w:val="FF0000"/>
              </w:rPr>
            </w:pPr>
            <w:r w:rsidRPr="00AB547C">
              <w:rPr>
                <w:rFonts w:ascii="Arial" w:hAnsi="Arial" w:cs="Arial"/>
              </w:rPr>
              <w:t>Education and Children's Services</w:t>
            </w:r>
          </w:p>
        </w:tc>
        <w:tc>
          <w:tcPr>
            <w:tcW w:w="6237" w:type="dxa"/>
            <w:tcBorders>
              <w:top w:val="single" w:sz="8" w:space="0" w:color="auto"/>
              <w:left w:val="nil"/>
              <w:right w:val="single" w:sz="4" w:space="0" w:color="auto"/>
            </w:tcBorders>
          </w:tcPr>
          <w:p w14:paraId="39F797B9" w14:textId="028335A7" w:rsidR="00DE6588" w:rsidRPr="00A13FE9" w:rsidRDefault="00DE6588" w:rsidP="00AF6B01">
            <w:pPr>
              <w:pStyle w:val="NoSpacing"/>
              <w:rPr>
                <w:rFonts w:ascii="Arial" w:hAnsi="Arial" w:cs="Arial"/>
              </w:rPr>
            </w:pPr>
            <w:r w:rsidRPr="0D5360B6">
              <w:rPr>
                <w:rFonts w:ascii="Arial" w:hAnsi="Arial" w:cs="Arial"/>
              </w:rPr>
              <w:t>Annual Report – schedule to be confirmed</w:t>
            </w:r>
            <w:r w:rsidR="0057517A">
              <w:rPr>
                <w:rFonts w:ascii="Arial" w:hAnsi="Arial" w:cs="Arial"/>
              </w:rPr>
              <w:t xml:space="preserve"> (</w:t>
            </w:r>
            <w:r w:rsidR="00AC2153">
              <w:rPr>
                <w:rFonts w:ascii="Arial" w:hAnsi="Arial" w:cs="Arial"/>
              </w:rPr>
              <w:t xml:space="preserve">proposed </w:t>
            </w:r>
            <w:r w:rsidR="00E67CFF">
              <w:rPr>
                <w:rFonts w:ascii="Arial" w:hAnsi="Arial" w:cs="Arial"/>
              </w:rPr>
              <w:t xml:space="preserve">September </w:t>
            </w:r>
            <w:r w:rsidR="00CC514F">
              <w:rPr>
                <w:rFonts w:ascii="Arial" w:hAnsi="Arial" w:cs="Arial"/>
              </w:rPr>
              <w:t>2022</w:t>
            </w:r>
            <w:r w:rsidR="00B07D3E">
              <w:rPr>
                <w:rFonts w:ascii="Arial" w:hAnsi="Arial" w:cs="Arial"/>
              </w:rPr>
              <w:t>)</w:t>
            </w:r>
            <w:r w:rsidRPr="0D5360B6">
              <w:rPr>
                <w:rFonts w:ascii="Arial" w:hAnsi="Arial" w:cs="Arial"/>
              </w:rPr>
              <w:t>.</w:t>
            </w:r>
          </w:p>
        </w:tc>
      </w:tr>
    </w:tbl>
    <w:p w14:paraId="1221303D" w14:textId="77777777" w:rsidR="002418EC" w:rsidRPr="009966CC" w:rsidRDefault="002418EC" w:rsidP="00BA50AE">
      <w:pPr>
        <w:rPr>
          <w:rFonts w:eastAsiaTheme="minorHAnsi" w:cs="Arial"/>
        </w:rPr>
      </w:pPr>
    </w:p>
    <w:p w14:paraId="162B4873" w14:textId="01AC2A44" w:rsidR="00D347F4" w:rsidRPr="00FB16C5" w:rsidRDefault="00B42C53" w:rsidP="00BA50AE">
      <w:pPr>
        <w:rPr>
          <w:color w:val="000000" w:themeColor="text1"/>
        </w:rPr>
      </w:pPr>
      <w:r w:rsidRPr="00FB16C5">
        <w:rPr>
          <w:b/>
          <w:bCs/>
          <w:color w:val="000000" w:themeColor="text1"/>
        </w:rPr>
        <w:t>Additional service developments</w:t>
      </w:r>
      <w:r w:rsidRPr="00FB16C5">
        <w:rPr>
          <w:color w:val="000000" w:themeColor="text1"/>
        </w:rPr>
        <w:t xml:space="preserve">. </w:t>
      </w:r>
      <w:r w:rsidR="00BA50AE" w:rsidRPr="00FB16C5">
        <w:rPr>
          <w:color w:val="000000" w:themeColor="text1"/>
        </w:rPr>
        <w:t xml:space="preserve">In addition to the above established key performance indicators many other service developments, projects and achievements are ongoing </w:t>
      </w:r>
      <w:r w:rsidR="00C83BA4" w:rsidRPr="00FB16C5">
        <w:rPr>
          <w:color w:val="000000" w:themeColor="text1"/>
        </w:rPr>
        <w:t xml:space="preserve">helping </w:t>
      </w:r>
      <w:r w:rsidR="00BA50AE" w:rsidRPr="00FB16C5">
        <w:rPr>
          <w:color w:val="000000" w:themeColor="text1"/>
        </w:rPr>
        <w:t>deliver the</w:t>
      </w:r>
      <w:r w:rsidR="00C83BA4" w:rsidRPr="00FB16C5">
        <w:rPr>
          <w:color w:val="000000" w:themeColor="text1"/>
        </w:rPr>
        <w:t xml:space="preserve"> Supporting Economic Growth</w:t>
      </w:r>
      <w:r w:rsidR="00BA50AE" w:rsidRPr="00FB16C5">
        <w:rPr>
          <w:color w:val="000000" w:themeColor="text1"/>
        </w:rPr>
        <w:t xml:space="preserve"> corporate priority.  Performance metrics are being developed for these areas, along with associated targets where appropriate</w:t>
      </w:r>
      <w:r w:rsidRPr="00FB16C5">
        <w:rPr>
          <w:color w:val="000000" w:themeColor="text1"/>
        </w:rPr>
        <w:t>,</w:t>
      </w:r>
      <w:r w:rsidR="00BA50AE" w:rsidRPr="00FB16C5">
        <w:rPr>
          <w:color w:val="000000" w:themeColor="text1"/>
        </w:rPr>
        <w:t xml:space="preserve"> for inclusion in future reports.</w:t>
      </w:r>
      <w:r w:rsidR="0081301E">
        <w:rPr>
          <w:color w:val="000000" w:themeColor="text1"/>
        </w:rPr>
        <w:t xml:space="preserve">  </w:t>
      </w:r>
      <w:r w:rsidR="00BA50AE" w:rsidRPr="00FB16C5">
        <w:rPr>
          <w:color w:val="000000" w:themeColor="text1"/>
        </w:rPr>
        <w:t xml:space="preserve">These </w:t>
      </w:r>
      <w:r w:rsidR="003627A1" w:rsidRPr="00FB16C5">
        <w:rPr>
          <w:color w:val="000000" w:themeColor="text1"/>
        </w:rPr>
        <w:t xml:space="preserve">service </w:t>
      </w:r>
      <w:r w:rsidR="00BA50AE" w:rsidRPr="00FB16C5">
        <w:rPr>
          <w:color w:val="000000" w:themeColor="text1"/>
        </w:rPr>
        <w:t>development areas include:</w:t>
      </w:r>
    </w:p>
    <w:p w14:paraId="1446634E" w14:textId="46BCC9F4" w:rsidR="00293896" w:rsidRDefault="00293896" w:rsidP="00293896">
      <w:pPr>
        <w:numPr>
          <w:ilvl w:val="0"/>
          <w:numId w:val="13"/>
        </w:numPr>
        <w:adjustRightInd/>
        <w:spacing w:after="0"/>
        <w:rPr>
          <w:rFonts w:eastAsia="Times New Roman" w:cs="Arial"/>
          <w:b/>
          <w:bCs/>
          <w:sz w:val="22"/>
          <w:szCs w:val="22"/>
        </w:rPr>
      </w:pPr>
      <w:r>
        <w:rPr>
          <w:rFonts w:eastAsia="Times New Roman" w:cs="Arial"/>
        </w:rPr>
        <w:t>A major economic development and infrastructure investment pipeline of up to £20bn across the county comprising and including public sector investment</w:t>
      </w:r>
      <w:r w:rsidR="000801FE">
        <w:rPr>
          <w:rFonts w:eastAsia="Times New Roman" w:cs="Arial"/>
        </w:rPr>
        <w:t>.</w:t>
      </w:r>
      <w:r w:rsidR="00474890">
        <w:rPr>
          <w:rFonts w:eastAsia="Times New Roman" w:cs="Arial"/>
        </w:rPr>
        <w:t xml:space="preserve"> Th</w:t>
      </w:r>
      <w:r w:rsidR="00DB36BD">
        <w:rPr>
          <w:rFonts w:eastAsia="Times New Roman" w:cs="Arial"/>
        </w:rPr>
        <w:t>is</w:t>
      </w:r>
      <w:r w:rsidR="00474890">
        <w:rPr>
          <w:rFonts w:eastAsia="Times New Roman" w:cs="Arial"/>
        </w:rPr>
        <w:t xml:space="preserve"> invest</w:t>
      </w:r>
      <w:r w:rsidR="0011607C">
        <w:rPr>
          <w:rFonts w:eastAsia="Times New Roman" w:cs="Arial"/>
        </w:rPr>
        <w:t>ment</w:t>
      </w:r>
      <w:r w:rsidR="00636977">
        <w:rPr>
          <w:rFonts w:eastAsia="Times New Roman" w:cs="Arial"/>
        </w:rPr>
        <w:t xml:space="preserve"> in</w:t>
      </w:r>
      <w:r w:rsidR="00435B13">
        <w:rPr>
          <w:rFonts w:eastAsia="Times New Roman" w:cs="Arial"/>
        </w:rPr>
        <w:t>cludes</w:t>
      </w:r>
      <w:r>
        <w:rPr>
          <w:rFonts w:eastAsia="Times New Roman" w:cs="Arial"/>
        </w:rPr>
        <w:t xml:space="preserve"> significant volumes of other public/Government and private sector </w:t>
      </w:r>
      <w:r>
        <w:rPr>
          <w:rFonts w:eastAsia="Times New Roman" w:cs="Arial"/>
        </w:rPr>
        <w:lastRenderedPageBreak/>
        <w:t xml:space="preserve">investment whereby the delivery of strategic development sites, enterprise zones, town and city regeneration, recovery, growth and low carbon projects, road, rail, cycling and walking infrastructure, utilities, clean energy, digital and fibre infrastructure is aligned to improvements in skills, employment, health and wellbeing and the environment. </w:t>
      </w:r>
    </w:p>
    <w:p w14:paraId="6B5C532B" w14:textId="77777777" w:rsidR="00293896" w:rsidRDefault="00293896" w:rsidP="00293896">
      <w:pPr>
        <w:numPr>
          <w:ilvl w:val="0"/>
          <w:numId w:val="13"/>
        </w:numPr>
        <w:adjustRightInd/>
        <w:spacing w:after="0"/>
        <w:rPr>
          <w:rFonts w:eastAsia="Times New Roman" w:cs="Arial"/>
          <w:b/>
          <w:bCs/>
        </w:rPr>
      </w:pPr>
      <w:r>
        <w:rPr>
          <w:rFonts w:eastAsia="Times New Roman" w:cs="Arial"/>
        </w:rPr>
        <w:t>Within that overarching investment strategy, Lancashire County Council's transport authority pipeline is almost £10bn and its strategic development lead role leverages up to £2bn investment, including through:</w:t>
      </w:r>
    </w:p>
    <w:p w14:paraId="4FEF7C6D" w14:textId="77777777" w:rsidR="00293896" w:rsidRDefault="00293896" w:rsidP="00293896">
      <w:pPr>
        <w:numPr>
          <w:ilvl w:val="1"/>
          <w:numId w:val="13"/>
        </w:numPr>
        <w:adjustRightInd/>
        <w:spacing w:after="0"/>
        <w:rPr>
          <w:rFonts w:eastAsia="Times New Roman" w:cs="Arial"/>
          <w:b/>
          <w:bCs/>
        </w:rPr>
      </w:pPr>
      <w:r>
        <w:rPr>
          <w:rFonts w:eastAsia="Times New Roman" w:cs="Arial"/>
        </w:rPr>
        <w:t xml:space="preserve">Delivery of the £256m South Lancaster Growth Catalyst including major road, bus, cycling and walking investment supported by Housing Infrastructure Fund, unlocking delivery of over 9000 houses and employment land. </w:t>
      </w:r>
    </w:p>
    <w:p w14:paraId="31853957" w14:textId="77777777" w:rsidR="00293896" w:rsidRDefault="00293896" w:rsidP="00293896">
      <w:pPr>
        <w:numPr>
          <w:ilvl w:val="1"/>
          <w:numId w:val="13"/>
        </w:numPr>
        <w:adjustRightInd/>
        <w:spacing w:after="0"/>
        <w:rPr>
          <w:rFonts w:eastAsia="Times New Roman" w:cs="Arial"/>
          <w:b/>
          <w:bCs/>
        </w:rPr>
      </w:pPr>
      <w:r>
        <w:rPr>
          <w:rFonts w:eastAsia="Times New Roman" w:cs="Arial"/>
        </w:rPr>
        <w:t>Targeted grant and commercial loan funds such as the £12.8m Lancashire Economic Recovery and Growth programme, £33m Urban Development Fund or contribution to the £10m Lancashire Inward Investment fund.</w:t>
      </w:r>
    </w:p>
    <w:p w14:paraId="5EF58CFB" w14:textId="77777777" w:rsidR="00293896" w:rsidRDefault="00293896" w:rsidP="00293896">
      <w:pPr>
        <w:numPr>
          <w:ilvl w:val="1"/>
          <w:numId w:val="13"/>
        </w:numPr>
        <w:adjustRightInd/>
        <w:spacing w:after="0"/>
        <w:rPr>
          <w:rFonts w:eastAsia="Times New Roman" w:cs="Arial"/>
          <w:b/>
          <w:bCs/>
        </w:rPr>
      </w:pPr>
      <w:r>
        <w:rPr>
          <w:rFonts w:eastAsia="Times New Roman" w:cs="Arial"/>
        </w:rPr>
        <w:t>The Eden North project, which is an exciting landmark opportunity with £125m investment creating around 2,000 construction jobs with an anticipated 1m visitors. This is a key driver for post-Covid green recovery in the North West.</w:t>
      </w:r>
    </w:p>
    <w:p w14:paraId="0D2E52E0" w14:textId="77777777" w:rsidR="00293896" w:rsidRDefault="00293896" w:rsidP="00293896">
      <w:pPr>
        <w:numPr>
          <w:ilvl w:val="1"/>
          <w:numId w:val="13"/>
        </w:numPr>
        <w:adjustRightInd/>
        <w:spacing w:after="0"/>
        <w:rPr>
          <w:rFonts w:eastAsia="Times New Roman" w:cs="Arial"/>
          <w:b/>
          <w:bCs/>
        </w:rPr>
      </w:pPr>
      <w:r>
        <w:rPr>
          <w:rFonts w:eastAsia="Times New Roman" w:cs="Arial"/>
        </w:rPr>
        <w:t>The £207m Preston Western Distributor which provides direct access to new housing developments and an alternative to rush hour traffic in the city centre and improves access to the motorway from Warton Enterprise Zone as part of the wider £570m City Deal unlocking major housing and employment growth and £43m Transforming Cities Fund which includes delivery of a new rail station at Cottam in the heart of new housing developments.</w:t>
      </w:r>
    </w:p>
    <w:p w14:paraId="452E1F1C" w14:textId="77777777" w:rsidR="00293896" w:rsidRDefault="00293896" w:rsidP="00293896">
      <w:pPr>
        <w:numPr>
          <w:ilvl w:val="1"/>
          <w:numId w:val="13"/>
        </w:numPr>
        <w:adjustRightInd/>
        <w:spacing w:after="0"/>
        <w:rPr>
          <w:rFonts w:eastAsia="Times New Roman" w:cs="Arial"/>
          <w:b/>
          <w:bCs/>
        </w:rPr>
      </w:pPr>
      <w:r>
        <w:rPr>
          <w:rFonts w:eastAsia="Times New Roman" w:cs="Arial"/>
        </w:rPr>
        <w:t xml:space="preserve">Lancashire Central and </w:t>
      </w:r>
      <w:proofErr w:type="spellStart"/>
      <w:r>
        <w:rPr>
          <w:rFonts w:eastAsia="Times New Roman" w:cs="Arial"/>
        </w:rPr>
        <w:t>Samlesbury</w:t>
      </w:r>
      <w:proofErr w:type="spellEnd"/>
      <w:r>
        <w:rPr>
          <w:rFonts w:eastAsia="Times New Roman" w:cs="Arial"/>
        </w:rPr>
        <w:t xml:space="preserve"> Enterprise Zone which provide 3 million sq. ft of commercial floorspace including </w:t>
      </w:r>
      <w:r w:rsidRPr="00FD793C">
        <w:rPr>
          <w:rFonts w:eastAsia="Times New Roman" w:cs="Arial"/>
        </w:rPr>
        <w:t>high tech industrial and research, advanced manufacturing, cyber tech, engineering and logistics unlocking almost</w:t>
      </w:r>
      <w:r>
        <w:rPr>
          <w:rFonts w:eastAsia="Times New Roman" w:cs="Arial"/>
        </w:rPr>
        <w:t xml:space="preserve"> £0.75bn investment.</w:t>
      </w:r>
    </w:p>
    <w:p w14:paraId="156C56CE" w14:textId="7BEA5E8A" w:rsidR="00293896" w:rsidRPr="00E469FC" w:rsidRDefault="00293896" w:rsidP="00293896">
      <w:pPr>
        <w:numPr>
          <w:ilvl w:val="1"/>
          <w:numId w:val="13"/>
        </w:numPr>
        <w:adjustRightInd/>
        <w:spacing w:after="0"/>
        <w:rPr>
          <w:rFonts w:eastAsia="Times New Roman" w:cs="Arial"/>
          <w:b/>
          <w:bCs/>
        </w:rPr>
      </w:pPr>
      <w:r>
        <w:rPr>
          <w:rFonts w:eastAsia="Times New Roman" w:cs="Arial"/>
        </w:rPr>
        <w:t>Almost £50m investment in business parks, office/hub space, residential care and commercial leisure</w:t>
      </w:r>
      <w:r w:rsidR="00E469FC">
        <w:rPr>
          <w:rFonts w:eastAsia="Times New Roman" w:cs="Arial"/>
        </w:rPr>
        <w:t>.</w:t>
      </w:r>
    </w:p>
    <w:p w14:paraId="68A9819B" w14:textId="17E756C2" w:rsidR="0080625B" w:rsidRPr="00E469FC" w:rsidRDefault="00293896" w:rsidP="00E469FC">
      <w:pPr>
        <w:numPr>
          <w:ilvl w:val="1"/>
          <w:numId w:val="13"/>
        </w:numPr>
        <w:adjustRightInd/>
        <w:spacing w:after="0"/>
        <w:rPr>
          <w:rFonts w:eastAsia="Times New Roman" w:cs="Arial"/>
          <w:b/>
          <w:bCs/>
        </w:rPr>
      </w:pPr>
      <w:r w:rsidRPr="00E469FC">
        <w:rPr>
          <w:rFonts w:eastAsia="Times New Roman" w:cs="Arial"/>
        </w:rPr>
        <w:t xml:space="preserve">Unlocking the full value of the £5bn Government investment in the National Cyber Force HQ with thousands of jobs, skills, and supply chain opportunities together with cascading benefits through spend in the Lancashire and NW economy. </w:t>
      </w:r>
    </w:p>
    <w:p w14:paraId="385DA477" w14:textId="6D3AED70" w:rsidR="0093699D" w:rsidRDefault="0093699D">
      <w:pPr>
        <w:autoSpaceDE/>
        <w:autoSpaceDN/>
        <w:adjustRightInd/>
        <w:spacing w:after="160" w:line="259" w:lineRule="auto"/>
        <w:jc w:val="left"/>
        <w:rPr>
          <w:b/>
          <w:color w:val="000000" w:themeColor="text1"/>
        </w:rPr>
      </w:pPr>
      <w:r>
        <w:rPr>
          <w:b/>
          <w:color w:val="000000" w:themeColor="text1"/>
        </w:rPr>
        <w:br w:type="page"/>
      </w:r>
    </w:p>
    <w:p w14:paraId="3FB60AA7" w14:textId="343A3706" w:rsidR="00930B30" w:rsidRPr="0081385F" w:rsidRDefault="00930B30" w:rsidP="00930B30">
      <w:pPr>
        <w:rPr>
          <w:b/>
          <w:bCs/>
          <w:color w:val="000000" w:themeColor="text1"/>
          <w:sz w:val="22"/>
          <w:szCs w:val="22"/>
        </w:rPr>
      </w:pPr>
      <w:r w:rsidRPr="0081385F">
        <w:rPr>
          <w:b/>
          <w:bCs/>
          <w:sz w:val="40"/>
          <w:szCs w:val="40"/>
          <w:lang w:eastAsia="en-GB"/>
        </w:rPr>
        <w:lastRenderedPageBreak/>
        <w:t>Caring for the vulnerable </w:t>
      </w:r>
    </w:p>
    <w:tbl>
      <w:tblPr>
        <w:tblpPr w:leftFromText="180" w:rightFromText="180" w:vertAnchor="text" w:horzAnchor="margin" w:tblpY="83"/>
        <w:tblW w:w="14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1268"/>
        <w:gridCol w:w="1334"/>
        <w:gridCol w:w="789"/>
        <w:gridCol w:w="1147"/>
        <w:gridCol w:w="1227"/>
        <w:gridCol w:w="1755"/>
        <w:gridCol w:w="1356"/>
        <w:gridCol w:w="1356"/>
        <w:gridCol w:w="1356"/>
      </w:tblGrid>
      <w:tr w:rsidR="00930B30" w14:paraId="691D3FBD" w14:textId="77777777" w:rsidTr="00AF6B01">
        <w:trPr>
          <w:trHeight w:val="238"/>
        </w:trPr>
        <w:tc>
          <w:tcPr>
            <w:tcW w:w="2469" w:type="dxa"/>
            <w:tcBorders>
              <w:top w:val="single" w:sz="4" w:space="0" w:color="auto"/>
              <w:left w:val="single" w:sz="4" w:space="0" w:color="auto"/>
              <w:bottom w:val="single" w:sz="4" w:space="0" w:color="auto"/>
              <w:right w:val="single" w:sz="4" w:space="0" w:color="auto"/>
            </w:tcBorders>
            <w:hideMark/>
          </w:tcPr>
          <w:p w14:paraId="45C3892D" w14:textId="77777777" w:rsidR="00930B30" w:rsidRPr="00511630" w:rsidRDefault="00930B30" w:rsidP="00AF6B01">
            <w:pPr>
              <w:pStyle w:val="NoSpacing"/>
              <w:rPr>
                <w:rFonts w:ascii="Arial" w:hAnsi="Arial" w:cs="Arial"/>
                <w:b/>
                <w:sz w:val="20"/>
                <w:szCs w:val="20"/>
              </w:rPr>
            </w:pPr>
            <w:r w:rsidRPr="00511630">
              <w:rPr>
                <w:rFonts w:ascii="Arial" w:hAnsi="Arial" w:cs="Arial"/>
                <w:b/>
                <w:sz w:val="20"/>
                <w:szCs w:val="20"/>
              </w:rPr>
              <w:t>Performance Indicator</w:t>
            </w:r>
          </w:p>
        </w:tc>
        <w:tc>
          <w:tcPr>
            <w:tcW w:w="1268" w:type="dxa"/>
            <w:tcBorders>
              <w:top w:val="single" w:sz="4" w:space="0" w:color="auto"/>
              <w:left w:val="single" w:sz="4" w:space="0" w:color="auto"/>
              <w:bottom w:val="single" w:sz="4" w:space="0" w:color="auto"/>
              <w:right w:val="single" w:sz="4" w:space="0" w:color="auto"/>
            </w:tcBorders>
            <w:hideMark/>
          </w:tcPr>
          <w:p w14:paraId="79725B63" w14:textId="77777777" w:rsidR="00930B30" w:rsidRPr="00511630" w:rsidRDefault="00930B30" w:rsidP="00AF6B01">
            <w:pPr>
              <w:pStyle w:val="NoSpacing"/>
              <w:rPr>
                <w:rFonts w:ascii="Arial" w:hAnsi="Arial" w:cs="Arial"/>
                <w:b/>
                <w:sz w:val="20"/>
                <w:szCs w:val="20"/>
              </w:rPr>
            </w:pPr>
            <w:r w:rsidRPr="00511630">
              <w:rPr>
                <w:rFonts w:ascii="Arial" w:hAnsi="Arial" w:cs="Arial"/>
                <w:b/>
                <w:sz w:val="20"/>
                <w:szCs w:val="20"/>
              </w:rPr>
              <w:t>Frequency</w:t>
            </w:r>
          </w:p>
        </w:tc>
        <w:tc>
          <w:tcPr>
            <w:tcW w:w="1334" w:type="dxa"/>
            <w:tcBorders>
              <w:top w:val="single" w:sz="4" w:space="0" w:color="auto"/>
              <w:left w:val="single" w:sz="4" w:space="0" w:color="auto"/>
              <w:bottom w:val="single" w:sz="4" w:space="0" w:color="auto"/>
              <w:right w:val="single" w:sz="4" w:space="0" w:color="auto"/>
            </w:tcBorders>
          </w:tcPr>
          <w:p w14:paraId="3328CF37" w14:textId="77777777" w:rsidR="00930B30" w:rsidRPr="00511630" w:rsidRDefault="00930B30" w:rsidP="00AF6B01">
            <w:pPr>
              <w:pStyle w:val="NoSpacing"/>
              <w:rPr>
                <w:rFonts w:ascii="Arial" w:hAnsi="Arial" w:cs="Arial"/>
                <w:b/>
                <w:sz w:val="20"/>
                <w:szCs w:val="20"/>
              </w:rPr>
            </w:pPr>
            <w:r w:rsidRPr="00511630">
              <w:rPr>
                <w:rFonts w:ascii="Arial" w:hAnsi="Arial" w:cs="Arial"/>
                <w:b/>
                <w:sz w:val="20"/>
                <w:szCs w:val="20"/>
              </w:rPr>
              <w:t xml:space="preserve">Directorate </w:t>
            </w:r>
          </w:p>
        </w:tc>
        <w:tc>
          <w:tcPr>
            <w:tcW w:w="789" w:type="dxa"/>
            <w:tcBorders>
              <w:top w:val="single" w:sz="4" w:space="0" w:color="auto"/>
              <w:left w:val="single" w:sz="4" w:space="0" w:color="auto"/>
              <w:bottom w:val="single" w:sz="4" w:space="0" w:color="auto"/>
              <w:right w:val="single" w:sz="4" w:space="0" w:color="auto"/>
            </w:tcBorders>
          </w:tcPr>
          <w:p w14:paraId="3FA23A56" w14:textId="77777777" w:rsidR="00930B30" w:rsidRPr="00511630" w:rsidRDefault="00930B30" w:rsidP="00AF6B01">
            <w:pPr>
              <w:pStyle w:val="NoSpacing"/>
              <w:rPr>
                <w:rFonts w:ascii="Arial" w:hAnsi="Arial" w:cs="Arial"/>
                <w:b/>
                <w:sz w:val="20"/>
                <w:szCs w:val="20"/>
              </w:rPr>
            </w:pPr>
            <w:r w:rsidRPr="00511630">
              <w:rPr>
                <w:rFonts w:ascii="Arial" w:hAnsi="Arial" w:cs="Arial"/>
                <w:b/>
                <w:sz w:val="20"/>
                <w:szCs w:val="20"/>
              </w:rPr>
              <w:t>Good is</w:t>
            </w:r>
          </w:p>
        </w:tc>
        <w:tc>
          <w:tcPr>
            <w:tcW w:w="1147" w:type="dxa"/>
            <w:tcBorders>
              <w:top w:val="single" w:sz="4" w:space="0" w:color="auto"/>
              <w:left w:val="single" w:sz="4" w:space="0" w:color="auto"/>
              <w:bottom w:val="single" w:sz="4" w:space="0" w:color="auto"/>
              <w:right w:val="single" w:sz="4" w:space="0" w:color="auto"/>
            </w:tcBorders>
          </w:tcPr>
          <w:p w14:paraId="4DA4C869"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2019/20 Outturn</w:t>
            </w:r>
          </w:p>
        </w:tc>
        <w:tc>
          <w:tcPr>
            <w:tcW w:w="1227" w:type="dxa"/>
            <w:tcBorders>
              <w:top w:val="single" w:sz="4" w:space="0" w:color="auto"/>
              <w:left w:val="single" w:sz="4" w:space="0" w:color="auto"/>
              <w:bottom w:val="single" w:sz="4" w:space="0" w:color="auto"/>
              <w:right w:val="single" w:sz="4" w:space="0" w:color="auto"/>
            </w:tcBorders>
          </w:tcPr>
          <w:p w14:paraId="45A955D0"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2020/21 Outturn</w:t>
            </w:r>
          </w:p>
        </w:tc>
        <w:tc>
          <w:tcPr>
            <w:tcW w:w="1755" w:type="dxa"/>
            <w:tcBorders>
              <w:top w:val="single" w:sz="4" w:space="0" w:color="auto"/>
              <w:left w:val="single" w:sz="4" w:space="0" w:color="auto"/>
              <w:bottom w:val="single" w:sz="4" w:space="0" w:color="auto"/>
              <w:right w:val="single" w:sz="4" w:space="0" w:color="auto"/>
            </w:tcBorders>
          </w:tcPr>
          <w:p w14:paraId="0C4DD519"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2021/22   </w:t>
            </w:r>
          </w:p>
          <w:p w14:paraId="20F4CCF7"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Quarter 1 </w:t>
            </w:r>
          </w:p>
          <w:p w14:paraId="6A67F200"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(April-June)</w:t>
            </w:r>
          </w:p>
        </w:tc>
        <w:tc>
          <w:tcPr>
            <w:tcW w:w="1356" w:type="dxa"/>
            <w:tcBorders>
              <w:top w:val="single" w:sz="4" w:space="0" w:color="auto"/>
              <w:left w:val="single" w:sz="4" w:space="0" w:color="auto"/>
              <w:bottom w:val="single" w:sz="4" w:space="0" w:color="auto"/>
              <w:right w:val="single" w:sz="4" w:space="0" w:color="auto"/>
            </w:tcBorders>
          </w:tcPr>
          <w:p w14:paraId="30BBD4C6"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2021/22 </w:t>
            </w:r>
          </w:p>
          <w:p w14:paraId="30DE838D"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Quarter 2 </w:t>
            </w:r>
          </w:p>
          <w:p w14:paraId="636986F8"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(July – Sep)</w:t>
            </w:r>
          </w:p>
        </w:tc>
        <w:tc>
          <w:tcPr>
            <w:tcW w:w="1356" w:type="dxa"/>
            <w:tcBorders>
              <w:top w:val="single" w:sz="4" w:space="0" w:color="auto"/>
              <w:left w:val="single" w:sz="4" w:space="0" w:color="auto"/>
              <w:bottom w:val="single" w:sz="4" w:space="0" w:color="auto"/>
              <w:right w:val="single" w:sz="4" w:space="0" w:color="auto"/>
            </w:tcBorders>
          </w:tcPr>
          <w:p w14:paraId="626BD49F"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2021/22 </w:t>
            </w:r>
          </w:p>
          <w:p w14:paraId="5DC8D39E"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 xml:space="preserve">Quarter </w:t>
            </w:r>
            <w:r>
              <w:rPr>
                <w:rFonts w:ascii="Arial" w:hAnsi="Arial" w:cs="Arial"/>
                <w:b/>
                <w:bCs/>
                <w:sz w:val="20"/>
                <w:szCs w:val="20"/>
              </w:rPr>
              <w:t>3</w:t>
            </w:r>
          </w:p>
          <w:p w14:paraId="7C6B37E6"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w:t>
            </w:r>
            <w:r>
              <w:rPr>
                <w:rFonts w:ascii="Arial" w:hAnsi="Arial" w:cs="Arial"/>
                <w:b/>
                <w:bCs/>
                <w:sz w:val="20"/>
                <w:szCs w:val="20"/>
              </w:rPr>
              <w:t>Oct</w:t>
            </w:r>
            <w:r w:rsidRPr="00511630">
              <w:rPr>
                <w:rFonts w:ascii="Arial" w:hAnsi="Arial" w:cs="Arial"/>
                <w:b/>
                <w:bCs/>
                <w:sz w:val="20"/>
                <w:szCs w:val="20"/>
              </w:rPr>
              <w:t xml:space="preserve"> – </w:t>
            </w:r>
            <w:r>
              <w:rPr>
                <w:rFonts w:ascii="Arial" w:hAnsi="Arial" w:cs="Arial"/>
                <w:b/>
                <w:bCs/>
                <w:sz w:val="20"/>
                <w:szCs w:val="20"/>
              </w:rPr>
              <w:t>Dec</w:t>
            </w:r>
            <w:r w:rsidRPr="00511630">
              <w:rPr>
                <w:rFonts w:ascii="Arial" w:hAnsi="Arial" w:cs="Arial"/>
                <w:b/>
                <w:bCs/>
                <w:sz w:val="20"/>
                <w:szCs w:val="20"/>
              </w:rPr>
              <w:t>)</w:t>
            </w:r>
          </w:p>
        </w:tc>
        <w:tc>
          <w:tcPr>
            <w:tcW w:w="1356" w:type="dxa"/>
            <w:tcBorders>
              <w:top w:val="single" w:sz="4" w:space="0" w:color="auto"/>
              <w:left w:val="single" w:sz="4" w:space="0" w:color="auto"/>
              <w:bottom w:val="single" w:sz="4" w:space="0" w:color="auto"/>
              <w:right w:val="single" w:sz="4" w:space="0" w:color="auto"/>
            </w:tcBorders>
          </w:tcPr>
          <w:p w14:paraId="384C7B26" w14:textId="77777777" w:rsidR="00930B30" w:rsidRPr="00511630" w:rsidRDefault="00930B30" w:rsidP="00AF6B01">
            <w:pPr>
              <w:pStyle w:val="NoSpacing"/>
              <w:rPr>
                <w:rFonts w:ascii="Arial" w:hAnsi="Arial" w:cs="Arial"/>
                <w:b/>
                <w:bCs/>
                <w:sz w:val="20"/>
                <w:szCs w:val="20"/>
              </w:rPr>
            </w:pPr>
            <w:r w:rsidRPr="00511630">
              <w:rPr>
                <w:rFonts w:ascii="Arial" w:hAnsi="Arial" w:cs="Arial"/>
                <w:b/>
                <w:bCs/>
                <w:sz w:val="20"/>
                <w:szCs w:val="20"/>
              </w:rPr>
              <w:t>2021/22 Target</w:t>
            </w:r>
          </w:p>
        </w:tc>
      </w:tr>
      <w:tr w:rsidR="00930B30" w14:paraId="046ADACD" w14:textId="77777777" w:rsidTr="00AF6B01">
        <w:trPr>
          <w:trHeight w:val="2001"/>
        </w:trPr>
        <w:tc>
          <w:tcPr>
            <w:tcW w:w="2469" w:type="dxa"/>
            <w:tcBorders>
              <w:top w:val="single" w:sz="4" w:space="0" w:color="auto"/>
              <w:left w:val="single" w:sz="4" w:space="0" w:color="auto"/>
              <w:bottom w:val="single" w:sz="4" w:space="0" w:color="auto"/>
              <w:right w:val="single" w:sz="4" w:space="0" w:color="auto"/>
            </w:tcBorders>
            <w:hideMark/>
          </w:tcPr>
          <w:p w14:paraId="222314D2" w14:textId="77777777" w:rsidR="00930B30" w:rsidRPr="00CF5FAC" w:rsidRDefault="00930B30" w:rsidP="00AF6B01">
            <w:pPr>
              <w:pStyle w:val="NoSpacing"/>
              <w:rPr>
                <w:rFonts w:ascii="Arial" w:hAnsi="Arial" w:cs="Arial"/>
              </w:rPr>
            </w:pPr>
            <w:r w:rsidRPr="62385CB5">
              <w:rPr>
                <w:rFonts w:ascii="Arial" w:hAnsi="Arial" w:cs="Arial"/>
              </w:rPr>
              <w:t>Percentage of children and young people who received targeted early help support from Children and Families Wellbeing service which successfully met their identified needs</w:t>
            </w:r>
          </w:p>
        </w:tc>
        <w:tc>
          <w:tcPr>
            <w:tcW w:w="1268" w:type="dxa"/>
            <w:tcBorders>
              <w:top w:val="single" w:sz="4" w:space="0" w:color="auto"/>
              <w:left w:val="single" w:sz="4" w:space="0" w:color="auto"/>
              <w:bottom w:val="single" w:sz="4" w:space="0" w:color="auto"/>
              <w:right w:val="single" w:sz="4" w:space="0" w:color="auto"/>
            </w:tcBorders>
            <w:hideMark/>
          </w:tcPr>
          <w:p w14:paraId="36E289FE" w14:textId="77777777" w:rsidR="00930B30" w:rsidRPr="00CF5FAC" w:rsidRDefault="00930B30" w:rsidP="00AF6B01">
            <w:pPr>
              <w:pStyle w:val="NoSpacing"/>
              <w:rPr>
                <w:rFonts w:ascii="Arial" w:hAnsi="Arial" w:cs="Arial"/>
                <w:i/>
                <w:iCs/>
              </w:rPr>
            </w:pPr>
            <w:r w:rsidRPr="62385CB5">
              <w:rPr>
                <w:rFonts w:ascii="Arial" w:hAnsi="Arial" w:cs="Arial"/>
              </w:rPr>
              <w:t>Quarterly</w:t>
            </w:r>
          </w:p>
        </w:tc>
        <w:tc>
          <w:tcPr>
            <w:tcW w:w="1334" w:type="dxa"/>
            <w:tcBorders>
              <w:top w:val="single" w:sz="4" w:space="0" w:color="auto"/>
              <w:left w:val="single" w:sz="4" w:space="0" w:color="auto"/>
              <w:bottom w:val="single" w:sz="4" w:space="0" w:color="auto"/>
              <w:right w:val="single" w:sz="4" w:space="0" w:color="auto"/>
            </w:tcBorders>
          </w:tcPr>
          <w:p w14:paraId="2BD4969D" w14:textId="77777777" w:rsidR="00930B30" w:rsidRPr="00CF5FAC" w:rsidRDefault="00930B30" w:rsidP="00AF6B01">
            <w:pPr>
              <w:pStyle w:val="NoSpacing"/>
              <w:rPr>
                <w:rFonts w:ascii="Arial" w:hAnsi="Arial" w:cs="Arial"/>
              </w:rPr>
            </w:pPr>
            <w:r w:rsidRPr="62385CB5">
              <w:rPr>
                <w:rFonts w:ascii="Arial" w:hAnsi="Arial" w:cs="Arial"/>
              </w:rPr>
              <w:t>Education and Children's Services</w:t>
            </w:r>
          </w:p>
        </w:tc>
        <w:tc>
          <w:tcPr>
            <w:tcW w:w="789" w:type="dxa"/>
            <w:tcBorders>
              <w:top w:val="single" w:sz="4" w:space="0" w:color="auto"/>
              <w:left w:val="single" w:sz="4" w:space="0" w:color="auto"/>
              <w:bottom w:val="single" w:sz="4" w:space="0" w:color="auto"/>
              <w:right w:val="single" w:sz="4" w:space="0" w:color="auto"/>
            </w:tcBorders>
          </w:tcPr>
          <w:p w14:paraId="15A2C780" w14:textId="77777777" w:rsidR="00930B30" w:rsidRPr="00CF5FAC" w:rsidRDefault="00930B30" w:rsidP="00AF6B01">
            <w:pPr>
              <w:pStyle w:val="NoSpacing"/>
              <w:rPr>
                <w:rFonts w:ascii="Arial" w:hAnsi="Arial" w:cs="Arial"/>
              </w:rPr>
            </w:pPr>
            <w:r w:rsidRPr="62385CB5">
              <w:rPr>
                <w:rFonts w:ascii="Arial" w:hAnsi="Arial" w:cs="Arial"/>
              </w:rPr>
              <w:t>High</w:t>
            </w:r>
          </w:p>
        </w:tc>
        <w:tc>
          <w:tcPr>
            <w:tcW w:w="114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0CC3166" w14:textId="77777777" w:rsidR="00930B30" w:rsidRDefault="00930B30" w:rsidP="00AF6B01">
            <w:pPr>
              <w:pStyle w:val="NoSpacing"/>
            </w:pPr>
            <w:r w:rsidRPr="62385CB5">
              <w:rPr>
                <w:rFonts w:ascii="Arial" w:hAnsi="Arial" w:cs="Arial"/>
              </w:rPr>
              <w:t>65.5%</w:t>
            </w:r>
          </w:p>
          <w:p w14:paraId="548FDCDC" w14:textId="77777777" w:rsidR="00930B30" w:rsidRDefault="00930B30" w:rsidP="00AF6B01">
            <w:pPr>
              <w:pStyle w:val="NoSpacing"/>
              <w:rPr>
                <w:rFonts w:ascii="Arial" w:hAnsi="Arial" w:cs="Arial"/>
              </w:rPr>
            </w:pPr>
          </w:p>
        </w:tc>
        <w:tc>
          <w:tcPr>
            <w:tcW w:w="12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18D6B7" w14:textId="77777777" w:rsidR="00930B30" w:rsidRDefault="00930B30" w:rsidP="00AF6B01">
            <w:pPr>
              <w:pStyle w:val="NoSpacing"/>
            </w:pPr>
            <w:r w:rsidRPr="62385CB5">
              <w:rPr>
                <w:rFonts w:ascii="Arial" w:hAnsi="Arial" w:cs="Arial"/>
              </w:rPr>
              <w:t>64%</w:t>
            </w:r>
          </w:p>
        </w:tc>
        <w:tc>
          <w:tcPr>
            <w:tcW w:w="175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F1E873" w14:textId="77777777" w:rsidR="00930B30" w:rsidRDefault="00930B30" w:rsidP="00AF6B01">
            <w:pPr>
              <w:pStyle w:val="NoSpacing"/>
            </w:pPr>
            <w:r w:rsidRPr="62385CB5">
              <w:rPr>
                <w:rFonts w:ascii="Arial" w:hAnsi="Arial" w:cs="Arial"/>
              </w:rPr>
              <w:t>70%</w:t>
            </w:r>
          </w:p>
          <w:p w14:paraId="206F3F93" w14:textId="77777777" w:rsidR="00930B30" w:rsidRDefault="00930B30" w:rsidP="00AF6B01">
            <w:pPr>
              <w:pStyle w:val="NoSpacing"/>
              <w:rPr>
                <w:rFonts w:ascii="Arial" w:hAnsi="Arial" w:cs="Arial"/>
              </w:rPr>
            </w:pPr>
          </w:p>
          <w:p w14:paraId="66E69BEE" w14:textId="77777777" w:rsidR="00930B30" w:rsidRDefault="00930B30" w:rsidP="00AF6B01">
            <w:pPr>
              <w:pStyle w:val="NoSpacing"/>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F8D5C6" w14:textId="77777777" w:rsidR="00930B30" w:rsidRPr="62385CB5" w:rsidRDefault="00930B30" w:rsidP="00AF6B01">
            <w:pPr>
              <w:pStyle w:val="NoSpacing"/>
              <w:rPr>
                <w:rFonts w:ascii="Arial" w:hAnsi="Arial" w:cs="Arial"/>
              </w:rPr>
            </w:pPr>
            <w:r w:rsidRPr="4E6013FB">
              <w:rPr>
                <w:rFonts w:ascii="Arial" w:hAnsi="Arial" w:cs="Arial"/>
              </w:rPr>
              <w:t>69%</w:t>
            </w:r>
          </w:p>
        </w:tc>
        <w:tc>
          <w:tcPr>
            <w:tcW w:w="13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2DDE60" w14:textId="77777777" w:rsidR="00930B30" w:rsidRPr="002B63F1" w:rsidRDefault="00930B30" w:rsidP="00AF6B01">
            <w:pPr>
              <w:pStyle w:val="NoSpacing"/>
              <w:jc w:val="center"/>
              <w:rPr>
                <w:rFonts w:ascii="Arial" w:hAnsi="Arial" w:cs="Arial"/>
              </w:rPr>
            </w:pPr>
            <w:r w:rsidRPr="12A65B44">
              <w:rPr>
                <w:rFonts w:ascii="Arial" w:hAnsi="Arial" w:cs="Arial"/>
              </w:rPr>
              <w:t>70%</w:t>
            </w:r>
          </w:p>
        </w:tc>
        <w:tc>
          <w:tcPr>
            <w:tcW w:w="1356" w:type="dxa"/>
            <w:tcBorders>
              <w:top w:val="single" w:sz="4" w:space="0" w:color="auto"/>
              <w:left w:val="single" w:sz="4" w:space="0" w:color="auto"/>
              <w:bottom w:val="single" w:sz="4" w:space="0" w:color="auto"/>
              <w:right w:val="single" w:sz="4" w:space="0" w:color="auto"/>
            </w:tcBorders>
          </w:tcPr>
          <w:p w14:paraId="5AB8F3B9" w14:textId="77777777" w:rsidR="00930B30" w:rsidRPr="00CF5FAC" w:rsidRDefault="00930B30" w:rsidP="00AF6B01">
            <w:pPr>
              <w:pStyle w:val="NoSpacing"/>
              <w:jc w:val="center"/>
              <w:rPr>
                <w:rFonts w:ascii="Arial" w:hAnsi="Arial" w:cs="Arial"/>
              </w:rPr>
            </w:pPr>
            <w:r w:rsidRPr="002B63F1">
              <w:rPr>
                <w:rFonts w:ascii="Arial" w:hAnsi="Arial" w:cs="Arial"/>
              </w:rPr>
              <w:t>66%</w:t>
            </w:r>
          </w:p>
        </w:tc>
      </w:tr>
      <w:tr w:rsidR="00930B30" w14:paraId="3AF9FE0F" w14:textId="77777777" w:rsidTr="00AF6B01">
        <w:trPr>
          <w:trHeight w:val="179"/>
        </w:trPr>
        <w:tc>
          <w:tcPr>
            <w:tcW w:w="2469" w:type="dxa"/>
            <w:tcBorders>
              <w:top w:val="single" w:sz="4" w:space="0" w:color="auto"/>
              <w:left w:val="single" w:sz="4" w:space="0" w:color="auto"/>
              <w:bottom w:val="single" w:sz="4" w:space="0" w:color="auto"/>
              <w:right w:val="single" w:sz="4" w:space="0" w:color="auto"/>
            </w:tcBorders>
            <w:hideMark/>
          </w:tcPr>
          <w:p w14:paraId="12588EBE" w14:textId="77777777" w:rsidR="00930B30" w:rsidRPr="0087783B" w:rsidRDefault="00930B30" w:rsidP="00AF6B01">
            <w:pPr>
              <w:pStyle w:val="NoSpacing"/>
              <w:rPr>
                <w:rFonts w:ascii="Arial" w:hAnsi="Arial" w:cs="Arial"/>
              </w:rPr>
            </w:pPr>
            <w:r w:rsidRPr="78C3123E">
              <w:rPr>
                <w:rFonts w:ascii="Arial" w:hAnsi="Arial" w:cs="Arial"/>
              </w:rPr>
              <w:t>Percentage of children looked after who are actually living in Lancashire</w:t>
            </w:r>
          </w:p>
          <w:p w14:paraId="6A68BF33" w14:textId="77777777" w:rsidR="00930B30" w:rsidRPr="0087783B" w:rsidRDefault="00930B30" w:rsidP="00AF6B01">
            <w:pPr>
              <w:pStyle w:val="NoSpacing"/>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hideMark/>
          </w:tcPr>
          <w:p w14:paraId="4F7BFFDD" w14:textId="77777777" w:rsidR="00930B30" w:rsidRPr="0087783B" w:rsidRDefault="00930B30" w:rsidP="00AF6B01">
            <w:pPr>
              <w:pStyle w:val="NoSpacing"/>
              <w:rPr>
                <w:rFonts w:ascii="Arial" w:hAnsi="Arial" w:cs="Arial"/>
              </w:rPr>
            </w:pPr>
            <w:r w:rsidRPr="0087783B">
              <w:rPr>
                <w:rFonts w:ascii="Arial" w:hAnsi="Arial" w:cs="Arial"/>
              </w:rPr>
              <w:t>Quarterly</w:t>
            </w:r>
          </w:p>
        </w:tc>
        <w:tc>
          <w:tcPr>
            <w:tcW w:w="1334" w:type="dxa"/>
            <w:tcBorders>
              <w:top w:val="single" w:sz="4" w:space="0" w:color="auto"/>
              <w:left w:val="single" w:sz="4" w:space="0" w:color="auto"/>
              <w:bottom w:val="single" w:sz="4" w:space="0" w:color="auto"/>
              <w:right w:val="single" w:sz="4" w:space="0" w:color="auto"/>
            </w:tcBorders>
          </w:tcPr>
          <w:p w14:paraId="6313902F" w14:textId="77777777" w:rsidR="00930B30" w:rsidRPr="0087783B" w:rsidRDefault="00930B30" w:rsidP="00AF6B01">
            <w:pPr>
              <w:pStyle w:val="NoSpacing"/>
              <w:rPr>
                <w:rFonts w:ascii="Arial" w:hAnsi="Arial" w:cs="Arial"/>
              </w:rPr>
            </w:pPr>
            <w:r w:rsidRPr="0087783B">
              <w:rPr>
                <w:rFonts w:ascii="Arial" w:hAnsi="Arial" w:cs="Arial"/>
              </w:rPr>
              <w:t>Education and Children's Services</w:t>
            </w:r>
          </w:p>
        </w:tc>
        <w:tc>
          <w:tcPr>
            <w:tcW w:w="789" w:type="dxa"/>
            <w:tcBorders>
              <w:top w:val="single" w:sz="4" w:space="0" w:color="auto"/>
              <w:left w:val="single" w:sz="4" w:space="0" w:color="auto"/>
              <w:bottom w:val="single" w:sz="4" w:space="0" w:color="auto"/>
              <w:right w:val="single" w:sz="4" w:space="0" w:color="auto"/>
            </w:tcBorders>
          </w:tcPr>
          <w:p w14:paraId="008F3F2F" w14:textId="77777777" w:rsidR="00930B30" w:rsidRPr="0087783B" w:rsidRDefault="00930B30" w:rsidP="00AF6B01">
            <w:pPr>
              <w:pStyle w:val="NoSpacing"/>
              <w:rPr>
                <w:rFonts w:ascii="Arial" w:hAnsi="Arial" w:cs="Arial"/>
              </w:rPr>
            </w:pPr>
            <w:r w:rsidRPr="0087783B">
              <w:rPr>
                <w:rFonts w:ascii="Arial" w:hAnsi="Arial" w:cs="Arial"/>
              </w:rPr>
              <w:t>High</w:t>
            </w:r>
          </w:p>
        </w:tc>
        <w:tc>
          <w:tcPr>
            <w:tcW w:w="114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27794F7" w14:textId="77777777" w:rsidR="00930B30" w:rsidRDefault="00930B30" w:rsidP="00AF6B01">
            <w:pPr>
              <w:pStyle w:val="NoSpacing"/>
              <w:rPr>
                <w:rFonts w:ascii="Arial" w:hAnsi="Arial" w:cs="Arial"/>
              </w:rPr>
            </w:pPr>
            <w:r w:rsidRPr="62385CB5">
              <w:rPr>
                <w:rFonts w:ascii="Arial" w:hAnsi="Arial" w:cs="Arial"/>
              </w:rPr>
              <w:t xml:space="preserve">79.9% </w:t>
            </w:r>
            <w:r>
              <w:br/>
            </w:r>
            <w:r w:rsidRPr="62385CB5">
              <w:rPr>
                <w:rFonts w:ascii="Arial" w:hAnsi="Arial" w:cs="Arial"/>
              </w:rPr>
              <w:t>March 2020</w:t>
            </w:r>
          </w:p>
        </w:tc>
        <w:tc>
          <w:tcPr>
            <w:tcW w:w="12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9A85A0" w14:textId="77777777" w:rsidR="00930B30" w:rsidRDefault="00930B30" w:rsidP="00AF6B01">
            <w:pPr>
              <w:pStyle w:val="NoSpacing"/>
              <w:rPr>
                <w:rFonts w:ascii="Arial" w:hAnsi="Arial" w:cs="Arial"/>
              </w:rPr>
            </w:pPr>
            <w:r w:rsidRPr="62385CB5">
              <w:rPr>
                <w:rFonts w:ascii="Arial" w:hAnsi="Arial" w:cs="Arial"/>
              </w:rPr>
              <w:t xml:space="preserve">80.0% </w:t>
            </w:r>
            <w:r>
              <w:br/>
            </w:r>
            <w:r w:rsidRPr="62385CB5">
              <w:rPr>
                <w:rFonts w:ascii="Arial" w:hAnsi="Arial" w:cs="Arial"/>
              </w:rPr>
              <w:t>March 2021</w:t>
            </w:r>
          </w:p>
        </w:tc>
        <w:tc>
          <w:tcPr>
            <w:tcW w:w="175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050B74" w14:textId="77777777" w:rsidR="00930B30" w:rsidRDefault="00930B30" w:rsidP="00AF6B01">
            <w:pPr>
              <w:pStyle w:val="NoSpacing"/>
              <w:rPr>
                <w:rFonts w:ascii="Arial" w:hAnsi="Arial" w:cs="Arial"/>
              </w:rPr>
            </w:pPr>
            <w:r w:rsidRPr="62385CB5">
              <w:rPr>
                <w:rFonts w:ascii="Arial" w:hAnsi="Arial" w:cs="Arial"/>
              </w:rPr>
              <w:t>81.2%</w:t>
            </w:r>
            <w:r>
              <w:br/>
            </w:r>
            <w:r w:rsidRPr="62385CB5">
              <w:rPr>
                <w:rFonts w:ascii="Arial" w:hAnsi="Arial" w:cs="Arial"/>
              </w:rPr>
              <w:t>June 21</w:t>
            </w:r>
          </w:p>
        </w:tc>
        <w:tc>
          <w:tcPr>
            <w:tcW w:w="13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952570" w14:textId="77777777" w:rsidR="00930B30" w:rsidRPr="0087783B" w:rsidRDefault="00930B30" w:rsidP="00AF6B01">
            <w:pPr>
              <w:pStyle w:val="NoSpacing"/>
              <w:rPr>
                <w:rFonts w:ascii="Arial" w:hAnsi="Arial" w:cs="Arial"/>
              </w:rPr>
            </w:pPr>
            <w:r w:rsidRPr="4E6013FB">
              <w:rPr>
                <w:rFonts w:ascii="Arial" w:hAnsi="Arial" w:cs="Arial"/>
              </w:rPr>
              <w:t xml:space="preserve">81.7% </w:t>
            </w:r>
          </w:p>
          <w:p w14:paraId="4BCA1609" w14:textId="77777777" w:rsidR="00930B30" w:rsidRPr="0087783B" w:rsidRDefault="00930B30" w:rsidP="00AF6B01">
            <w:pPr>
              <w:pStyle w:val="NoSpacing"/>
              <w:rPr>
                <w:rFonts w:ascii="Arial" w:hAnsi="Arial" w:cs="Arial"/>
              </w:rPr>
            </w:pPr>
            <w:r w:rsidRPr="4E6013FB">
              <w:rPr>
                <w:rFonts w:ascii="Arial" w:hAnsi="Arial" w:cs="Arial"/>
              </w:rPr>
              <w:t>September 2021</w:t>
            </w:r>
          </w:p>
          <w:p w14:paraId="22BC3F6C" w14:textId="77777777" w:rsidR="00930B30" w:rsidRPr="0087783B" w:rsidRDefault="00930B30" w:rsidP="00AF6B01">
            <w:pPr>
              <w:pStyle w:val="NoSpacing"/>
              <w:jc w:val="center"/>
            </w:pPr>
          </w:p>
        </w:tc>
        <w:tc>
          <w:tcPr>
            <w:tcW w:w="13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D9D825" w14:textId="77777777" w:rsidR="00930B30" w:rsidRPr="0087783B" w:rsidRDefault="00930B30" w:rsidP="00AF6B01">
            <w:pPr>
              <w:pStyle w:val="NoSpacing"/>
              <w:rPr>
                <w:rFonts w:ascii="Arial" w:hAnsi="Arial" w:cs="Arial"/>
              </w:rPr>
            </w:pPr>
            <w:r w:rsidRPr="4E6013FB">
              <w:rPr>
                <w:rFonts w:ascii="Arial" w:hAnsi="Arial" w:cs="Arial"/>
              </w:rPr>
              <w:t>81.</w:t>
            </w:r>
            <w:r>
              <w:rPr>
                <w:rFonts w:ascii="Arial" w:hAnsi="Arial" w:cs="Arial"/>
              </w:rPr>
              <w:t>3</w:t>
            </w:r>
            <w:r w:rsidRPr="4E6013FB">
              <w:rPr>
                <w:rFonts w:ascii="Arial" w:hAnsi="Arial" w:cs="Arial"/>
              </w:rPr>
              <w:t xml:space="preserve">% </w:t>
            </w:r>
          </w:p>
          <w:p w14:paraId="0245C8FB" w14:textId="77777777" w:rsidR="00930B30" w:rsidRPr="0087783B" w:rsidRDefault="00930B30" w:rsidP="00AF6B01">
            <w:pPr>
              <w:pStyle w:val="NoSpacing"/>
              <w:rPr>
                <w:rFonts w:ascii="Arial" w:hAnsi="Arial" w:cs="Arial"/>
              </w:rPr>
            </w:pPr>
            <w:r>
              <w:rPr>
                <w:rFonts w:ascii="Arial" w:hAnsi="Arial" w:cs="Arial"/>
              </w:rPr>
              <w:t xml:space="preserve">December </w:t>
            </w:r>
            <w:r w:rsidRPr="4E6013FB">
              <w:rPr>
                <w:rFonts w:ascii="Arial" w:hAnsi="Arial" w:cs="Arial"/>
              </w:rPr>
              <w:t>2021</w:t>
            </w:r>
          </w:p>
          <w:p w14:paraId="4A3BE7E0" w14:textId="77777777" w:rsidR="00930B30" w:rsidRPr="0087783B" w:rsidRDefault="00930B30" w:rsidP="00AF6B01">
            <w:pPr>
              <w:pStyle w:val="NoSpacing"/>
              <w:jc w:val="cente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773B5A09" w14:textId="77777777" w:rsidR="00930B30" w:rsidRPr="0087783B" w:rsidRDefault="00930B30" w:rsidP="00AF6B01">
            <w:pPr>
              <w:pStyle w:val="NoSpacing"/>
              <w:jc w:val="center"/>
              <w:rPr>
                <w:rFonts w:ascii="Arial" w:hAnsi="Arial" w:cs="Arial"/>
              </w:rPr>
            </w:pPr>
            <w:r w:rsidRPr="0087783B">
              <w:rPr>
                <w:rFonts w:ascii="Arial" w:hAnsi="Arial" w:cs="Arial"/>
              </w:rPr>
              <w:t>80%</w:t>
            </w:r>
          </w:p>
        </w:tc>
      </w:tr>
    </w:tbl>
    <w:p w14:paraId="239469C8" w14:textId="77777777" w:rsidR="00930B30" w:rsidRDefault="00930B30" w:rsidP="00930B30"/>
    <w:p w14:paraId="0FAAD974" w14:textId="4CB7AB22" w:rsidR="00930B30" w:rsidRDefault="00930B30" w:rsidP="00930B30">
      <w:pPr>
        <w:rPr>
          <w:rFonts w:ascii="Calibri" w:eastAsiaTheme="minorHAnsi" w:hAnsi="Calibri" w:cs="Calibri"/>
          <w:color w:val="auto"/>
          <w:sz w:val="22"/>
          <w:szCs w:val="22"/>
        </w:rPr>
      </w:pPr>
      <w:r w:rsidRPr="003246D6">
        <w:rPr>
          <w:rFonts w:cs="Arial"/>
          <w:b/>
          <w:bCs/>
        </w:rPr>
        <w:t>Children and Families Wellbeing Service</w:t>
      </w:r>
      <w:r w:rsidRPr="003246D6">
        <w:rPr>
          <w:rFonts w:cs="Arial"/>
        </w:rPr>
        <w:t>.</w:t>
      </w:r>
      <w:r w:rsidRPr="003246D6">
        <w:t xml:space="preserve"> </w:t>
      </w:r>
      <w:r w:rsidR="00864B60">
        <w:t xml:space="preserve">Although reported performance for quarter 3 is above target, there </w:t>
      </w:r>
      <w:r w:rsidR="00595C80">
        <w:t>was</w:t>
      </w:r>
      <w:r w:rsidR="00864B60">
        <w:t xml:space="preserve"> a reduction in the number of cases closed with </w:t>
      </w:r>
      <w:r w:rsidR="00595C80">
        <w:t>'</w:t>
      </w:r>
      <w:r w:rsidR="00864B60">
        <w:t>all needs met</w:t>
      </w:r>
      <w:r w:rsidR="00595C80">
        <w:t>'</w:t>
      </w:r>
      <w:r w:rsidR="00864B60">
        <w:t xml:space="preserve"> during November and December.</w:t>
      </w:r>
      <w:r>
        <w:t xml:space="preserve"> </w:t>
      </w:r>
      <w:r w:rsidR="00864B60">
        <w:t xml:space="preserve">During </w:t>
      </w:r>
      <w:r>
        <w:t xml:space="preserve">November </w:t>
      </w:r>
      <w:r w:rsidR="00864B60">
        <w:t>there was</w:t>
      </w:r>
      <w:r>
        <w:t xml:space="preserve"> an increase in families disengaging from services</w:t>
      </w:r>
      <w:r w:rsidR="00864B60">
        <w:t xml:space="preserve">, and </w:t>
      </w:r>
      <w:r>
        <w:t>December's reduction</w:t>
      </w:r>
      <w:r w:rsidR="002F2E32">
        <w:t xml:space="preserve"> </w:t>
      </w:r>
      <w:r w:rsidR="00595C80">
        <w:t>was</w:t>
      </w:r>
      <w:r w:rsidR="002F2E32">
        <w:t xml:space="preserve"> </w:t>
      </w:r>
      <w:r>
        <w:t xml:space="preserve">a seasonal anomaly </w:t>
      </w:r>
      <w:r w:rsidR="001C03D2">
        <w:t>(similar to</w:t>
      </w:r>
      <w:r>
        <w:t xml:space="preserve"> Aug</w:t>
      </w:r>
      <w:r w:rsidR="002F2E32">
        <w:t>ust</w:t>
      </w:r>
      <w:r w:rsidR="001C03D2">
        <w:t>)</w:t>
      </w:r>
      <w:r w:rsidR="002F2E32">
        <w:t xml:space="preserve"> </w:t>
      </w:r>
      <w:r>
        <w:t xml:space="preserve">whereby there is a reduction in the number of cases closed with all needs met </w:t>
      </w:r>
      <w:r w:rsidR="001C03D2">
        <w:t>due</w:t>
      </w:r>
      <w:r>
        <w:t xml:space="preserve"> to school holidays and seasonal activities whilst other types of case closure remain consistent thereby suppressing performance against this measure. It is anticipated the position will return to normal during Jan</w:t>
      </w:r>
      <w:r w:rsidR="001C03D2">
        <w:t>uary 20</w:t>
      </w:r>
      <w:r>
        <w:t>22.</w:t>
      </w:r>
    </w:p>
    <w:p w14:paraId="423EC46F" w14:textId="77777777" w:rsidR="00930B30" w:rsidRPr="003246D6" w:rsidRDefault="00930B30" w:rsidP="00930B30">
      <w:pPr>
        <w:spacing w:line="257" w:lineRule="auto"/>
        <w:rPr>
          <w:rFonts w:eastAsia="Arial" w:cs="Arial"/>
          <w:color w:val="000000" w:themeColor="text1"/>
        </w:rPr>
      </w:pPr>
      <w:r w:rsidRPr="003246D6">
        <w:rPr>
          <w:rFonts w:cs="Arial"/>
          <w:b/>
          <w:bCs/>
        </w:rPr>
        <w:t>Looked after children actually living in Lancashire.</w:t>
      </w:r>
      <w:r w:rsidRPr="003246D6">
        <w:rPr>
          <w:rFonts w:cs="Arial"/>
        </w:rPr>
        <w:t xml:space="preserve"> </w:t>
      </w:r>
      <w:r w:rsidRPr="003246D6">
        <w:rPr>
          <w:rFonts w:eastAsia="Arial" w:cs="Arial"/>
          <w:color w:val="000000" w:themeColor="text1"/>
        </w:rPr>
        <w:t xml:space="preserve">This indicator remained above target at the end of </w:t>
      </w:r>
      <w:r>
        <w:rPr>
          <w:rFonts w:eastAsia="Arial" w:cs="Arial"/>
          <w:color w:val="000000" w:themeColor="text1"/>
        </w:rPr>
        <w:t>Q3</w:t>
      </w:r>
      <w:r w:rsidRPr="003246D6">
        <w:rPr>
          <w:rFonts w:eastAsia="Arial" w:cs="Arial"/>
          <w:color w:val="000000" w:themeColor="text1"/>
        </w:rPr>
        <w:t xml:space="preserve"> 2021/22 (81.</w:t>
      </w:r>
      <w:r>
        <w:rPr>
          <w:rFonts w:eastAsia="Arial" w:cs="Arial"/>
          <w:color w:val="000000" w:themeColor="text1"/>
        </w:rPr>
        <w:t>3</w:t>
      </w:r>
      <w:r w:rsidRPr="003246D6">
        <w:rPr>
          <w:rFonts w:eastAsia="Arial" w:cs="Arial"/>
          <w:color w:val="000000" w:themeColor="text1"/>
        </w:rPr>
        <w:t xml:space="preserve">%). Social </w:t>
      </w:r>
      <w:r>
        <w:rPr>
          <w:rFonts w:eastAsia="Arial" w:cs="Arial"/>
          <w:color w:val="000000" w:themeColor="text1"/>
        </w:rPr>
        <w:t>c</w:t>
      </w:r>
      <w:r w:rsidRPr="003246D6">
        <w:rPr>
          <w:rFonts w:eastAsia="Arial" w:cs="Arial"/>
          <w:color w:val="000000" w:themeColor="text1"/>
        </w:rPr>
        <w:t>are teams, including fostering and residential teams have worked with commissioning colleagues and with independent fostering and residential providers to ensure children and young people can remain within their communities, where possible, enabling them to continue to access their educational establishments and be close to family and friends where it is safe to do so.</w:t>
      </w:r>
    </w:p>
    <w:p w14:paraId="7D02A7C5" w14:textId="77777777" w:rsidR="00930B30" w:rsidRPr="00766844" w:rsidRDefault="00930B30" w:rsidP="00930B30">
      <w:pPr>
        <w:spacing w:line="257" w:lineRule="auto"/>
        <w:rPr>
          <w:rFonts w:ascii="Calibri" w:eastAsiaTheme="minorEastAsia" w:hAnsi="Calibri" w:cs="Calibri"/>
          <w:color w:val="FF0000"/>
          <w:sz w:val="22"/>
          <w:szCs w:val="22"/>
        </w:rPr>
      </w:pPr>
    </w:p>
    <w:tbl>
      <w:tblPr>
        <w:tblW w:w="13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1246"/>
        <w:gridCol w:w="1957"/>
        <w:gridCol w:w="787"/>
        <w:gridCol w:w="1098"/>
        <w:gridCol w:w="953"/>
        <w:gridCol w:w="1521"/>
        <w:gridCol w:w="1195"/>
        <w:gridCol w:w="1195"/>
        <w:gridCol w:w="1149"/>
      </w:tblGrid>
      <w:tr w:rsidR="00930B30" w14:paraId="05459C99" w14:textId="77777777" w:rsidTr="001D2D9F">
        <w:trPr>
          <w:trHeight w:val="579"/>
        </w:trPr>
        <w:tc>
          <w:tcPr>
            <w:tcW w:w="2865" w:type="dxa"/>
            <w:tcBorders>
              <w:top w:val="single" w:sz="4" w:space="0" w:color="auto"/>
              <w:left w:val="single" w:sz="4" w:space="0" w:color="auto"/>
              <w:bottom w:val="single" w:sz="4" w:space="0" w:color="auto"/>
              <w:right w:val="single" w:sz="4" w:space="0" w:color="auto"/>
            </w:tcBorders>
          </w:tcPr>
          <w:p w14:paraId="69EB1B69" w14:textId="77777777" w:rsidR="00930B30" w:rsidRPr="00FA30B2" w:rsidRDefault="00930B30" w:rsidP="00AF6B01">
            <w:pPr>
              <w:pStyle w:val="NoSpacing"/>
              <w:rPr>
                <w:rFonts w:ascii="Arial" w:hAnsi="Arial" w:cs="Arial"/>
                <w:b/>
              </w:rPr>
            </w:pPr>
            <w:r w:rsidRPr="0047796E">
              <w:rPr>
                <w:rFonts w:ascii="Arial" w:hAnsi="Arial" w:cs="Arial"/>
                <w:b/>
                <w:sz w:val="20"/>
                <w:szCs w:val="20"/>
              </w:rPr>
              <w:lastRenderedPageBreak/>
              <w:t>Performance Indicator</w:t>
            </w:r>
          </w:p>
        </w:tc>
        <w:tc>
          <w:tcPr>
            <w:tcW w:w="1246" w:type="dxa"/>
            <w:tcBorders>
              <w:top w:val="single" w:sz="4" w:space="0" w:color="auto"/>
              <w:left w:val="single" w:sz="4" w:space="0" w:color="auto"/>
              <w:bottom w:val="single" w:sz="4" w:space="0" w:color="auto"/>
              <w:right w:val="single" w:sz="4" w:space="0" w:color="auto"/>
            </w:tcBorders>
          </w:tcPr>
          <w:p w14:paraId="7B878C3E" w14:textId="77777777" w:rsidR="00930B30" w:rsidRPr="00FA30B2" w:rsidRDefault="00930B30" w:rsidP="00AF6B01">
            <w:pPr>
              <w:pStyle w:val="NoSpacing"/>
              <w:rPr>
                <w:rFonts w:ascii="Arial" w:hAnsi="Arial" w:cs="Arial"/>
                <w:b/>
              </w:rPr>
            </w:pPr>
            <w:r w:rsidRPr="0047796E">
              <w:rPr>
                <w:rFonts w:ascii="Arial" w:hAnsi="Arial" w:cs="Arial"/>
                <w:b/>
                <w:sz w:val="20"/>
                <w:szCs w:val="20"/>
              </w:rPr>
              <w:t>Frequency</w:t>
            </w:r>
          </w:p>
        </w:tc>
        <w:tc>
          <w:tcPr>
            <w:tcW w:w="1957" w:type="dxa"/>
            <w:tcBorders>
              <w:top w:val="single" w:sz="4" w:space="0" w:color="auto"/>
              <w:left w:val="single" w:sz="4" w:space="0" w:color="auto"/>
              <w:bottom w:val="single" w:sz="4" w:space="0" w:color="auto"/>
              <w:right w:val="single" w:sz="4" w:space="0" w:color="auto"/>
            </w:tcBorders>
          </w:tcPr>
          <w:p w14:paraId="1A1C2574" w14:textId="77777777" w:rsidR="00930B30" w:rsidRPr="00FA30B2" w:rsidRDefault="00930B30" w:rsidP="00AF6B01">
            <w:pPr>
              <w:pStyle w:val="NoSpacing"/>
              <w:rPr>
                <w:rFonts w:ascii="Arial" w:hAnsi="Arial" w:cs="Arial"/>
                <w:b/>
              </w:rPr>
            </w:pPr>
            <w:r w:rsidRPr="0047796E">
              <w:rPr>
                <w:rFonts w:ascii="Arial" w:hAnsi="Arial" w:cs="Arial"/>
                <w:b/>
                <w:sz w:val="20"/>
                <w:szCs w:val="20"/>
              </w:rPr>
              <w:t xml:space="preserve">Directorate </w:t>
            </w:r>
          </w:p>
        </w:tc>
        <w:tc>
          <w:tcPr>
            <w:tcW w:w="787" w:type="dxa"/>
            <w:tcBorders>
              <w:top w:val="single" w:sz="4" w:space="0" w:color="auto"/>
              <w:left w:val="single" w:sz="4" w:space="0" w:color="auto"/>
              <w:bottom w:val="single" w:sz="4" w:space="0" w:color="auto"/>
              <w:right w:val="single" w:sz="4" w:space="0" w:color="auto"/>
            </w:tcBorders>
          </w:tcPr>
          <w:p w14:paraId="44D5A197" w14:textId="77777777" w:rsidR="00930B30" w:rsidRDefault="00930B30" w:rsidP="00AF6B01">
            <w:pPr>
              <w:pStyle w:val="NoSpacing"/>
              <w:rPr>
                <w:rFonts w:ascii="Arial" w:hAnsi="Arial" w:cs="Arial"/>
                <w:b/>
              </w:rPr>
            </w:pPr>
            <w:r w:rsidRPr="0047796E">
              <w:rPr>
                <w:rFonts w:ascii="Arial" w:hAnsi="Arial" w:cs="Arial"/>
                <w:b/>
                <w:sz w:val="20"/>
                <w:szCs w:val="20"/>
              </w:rPr>
              <w:t>Good is</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2A4FE83" w14:textId="77777777" w:rsidR="00930B30" w:rsidRDefault="00930B30" w:rsidP="00AF6B01">
            <w:pPr>
              <w:pStyle w:val="NoSpacing"/>
              <w:jc w:val="center"/>
              <w:rPr>
                <w:rFonts w:ascii="Arial" w:hAnsi="Arial" w:cs="Arial"/>
                <w:b/>
                <w:bCs/>
              </w:rPr>
            </w:pPr>
            <w:r w:rsidRPr="62385CB5">
              <w:rPr>
                <w:rFonts w:ascii="Arial" w:hAnsi="Arial" w:cs="Arial"/>
                <w:b/>
                <w:bCs/>
                <w:sz w:val="20"/>
                <w:szCs w:val="20"/>
              </w:rPr>
              <w:t>2019/20 Outturn</w:t>
            </w: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1EC4CD92" w14:textId="77777777" w:rsidR="00930B30" w:rsidRDefault="00930B30" w:rsidP="00AF6B01">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F0F15AE" w14:textId="77777777" w:rsidR="00930B30" w:rsidRDefault="00930B30" w:rsidP="00AF6B01">
            <w:pPr>
              <w:pStyle w:val="NoSpacing"/>
              <w:jc w:val="center"/>
              <w:rPr>
                <w:rFonts w:ascii="Arial" w:hAnsi="Arial" w:cs="Arial"/>
                <w:b/>
                <w:bCs/>
                <w:sz w:val="20"/>
                <w:szCs w:val="20"/>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p w14:paraId="00BFA488" w14:textId="77777777" w:rsidR="00930B30" w:rsidRDefault="00930B30" w:rsidP="00AF6B01">
            <w:pPr>
              <w:pStyle w:val="NoSpacing"/>
              <w:jc w:val="center"/>
              <w:rPr>
                <w:b/>
                <w:bCs/>
                <w:sz w:val="20"/>
                <w:szCs w:val="20"/>
              </w:rPr>
            </w:pPr>
          </w:p>
        </w:tc>
        <w:tc>
          <w:tcPr>
            <w:tcW w:w="1195" w:type="dxa"/>
            <w:tcBorders>
              <w:top w:val="single" w:sz="4" w:space="0" w:color="auto"/>
              <w:left w:val="single" w:sz="4" w:space="0" w:color="auto"/>
              <w:bottom w:val="single" w:sz="4" w:space="0" w:color="auto"/>
              <w:right w:val="single" w:sz="4" w:space="0" w:color="auto"/>
            </w:tcBorders>
          </w:tcPr>
          <w:p w14:paraId="5317B3AC"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2021/22</w:t>
            </w:r>
          </w:p>
          <w:p w14:paraId="4F54A527"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Quarter 2</w:t>
            </w:r>
          </w:p>
          <w:p w14:paraId="7D509C09" w14:textId="77777777" w:rsidR="00930B30" w:rsidRPr="62385CB5" w:rsidRDefault="00930B30" w:rsidP="00AF6B01">
            <w:pPr>
              <w:pStyle w:val="NoSpacing"/>
              <w:jc w:val="center"/>
              <w:rPr>
                <w:rFonts w:ascii="Arial" w:hAnsi="Arial" w:cs="Arial"/>
                <w:b/>
                <w:bCs/>
                <w:sz w:val="20"/>
                <w:szCs w:val="20"/>
              </w:rPr>
            </w:pPr>
            <w:r w:rsidRPr="00254A8C">
              <w:rPr>
                <w:rFonts w:ascii="Arial" w:hAnsi="Arial" w:cs="Arial"/>
                <w:b/>
                <w:bCs/>
                <w:sz w:val="18"/>
                <w:szCs w:val="18"/>
              </w:rPr>
              <w:t>(July – Sep)</w:t>
            </w:r>
          </w:p>
        </w:tc>
        <w:tc>
          <w:tcPr>
            <w:tcW w:w="1195" w:type="dxa"/>
            <w:tcBorders>
              <w:top w:val="single" w:sz="4" w:space="0" w:color="auto"/>
              <w:left w:val="single" w:sz="4" w:space="0" w:color="auto"/>
              <w:bottom w:val="single" w:sz="4" w:space="0" w:color="auto"/>
              <w:right w:val="single" w:sz="4" w:space="0" w:color="auto"/>
            </w:tcBorders>
          </w:tcPr>
          <w:p w14:paraId="187F016E"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2021/22</w:t>
            </w:r>
          </w:p>
          <w:p w14:paraId="5B668BB0"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Quarter 3</w:t>
            </w:r>
          </w:p>
          <w:p w14:paraId="0809B7A8"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18"/>
                <w:szCs w:val="18"/>
              </w:rPr>
              <w:t>(Oct– Dec)</w:t>
            </w:r>
          </w:p>
          <w:p w14:paraId="77D75DE7" w14:textId="77777777" w:rsidR="00930B30" w:rsidRDefault="00930B30" w:rsidP="00AF6B01">
            <w:pPr>
              <w:pStyle w:val="NoSpacing"/>
              <w:jc w:val="center"/>
              <w:rPr>
                <w:b/>
                <w:bCs/>
                <w:sz w:val="20"/>
                <w:szCs w:val="20"/>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1C3A57C3" w14:textId="77777777" w:rsidR="00930B30" w:rsidRDefault="00930B30" w:rsidP="00AF6B01">
            <w:pPr>
              <w:pStyle w:val="NoSpacing"/>
              <w:jc w:val="center"/>
              <w:rPr>
                <w:rFonts w:ascii="Arial" w:hAnsi="Arial" w:cs="Arial"/>
                <w:b/>
                <w:bCs/>
              </w:rPr>
            </w:pPr>
            <w:r w:rsidRPr="62385CB5">
              <w:rPr>
                <w:rFonts w:ascii="Arial" w:hAnsi="Arial" w:cs="Arial"/>
                <w:b/>
                <w:bCs/>
                <w:sz w:val="20"/>
                <w:szCs w:val="20"/>
              </w:rPr>
              <w:t>2021/22 Target</w:t>
            </w:r>
          </w:p>
        </w:tc>
      </w:tr>
      <w:tr w:rsidR="00FF69FC" w14:paraId="2063D3B7" w14:textId="77777777" w:rsidTr="001D2D9F">
        <w:trPr>
          <w:trHeight w:val="1095"/>
        </w:trPr>
        <w:tc>
          <w:tcPr>
            <w:tcW w:w="2865" w:type="dxa"/>
            <w:tcBorders>
              <w:top w:val="single" w:sz="4" w:space="0" w:color="auto"/>
              <w:left w:val="single" w:sz="4" w:space="0" w:color="auto"/>
              <w:bottom w:val="single" w:sz="4" w:space="0" w:color="auto"/>
              <w:right w:val="single" w:sz="4" w:space="0" w:color="auto"/>
            </w:tcBorders>
            <w:hideMark/>
          </w:tcPr>
          <w:p w14:paraId="5A955B5E" w14:textId="77777777" w:rsidR="00930B30" w:rsidRPr="00CA768A" w:rsidRDefault="00930B30" w:rsidP="00AF6B01">
            <w:pPr>
              <w:pStyle w:val="NoSpacing"/>
              <w:rPr>
                <w:rFonts w:ascii="Arial" w:hAnsi="Arial" w:cs="Arial"/>
              </w:rPr>
            </w:pPr>
            <w:r w:rsidRPr="00CA768A">
              <w:rPr>
                <w:rFonts w:ascii="Arial" w:hAnsi="Arial" w:cs="Arial"/>
              </w:rPr>
              <w:t>Percentage of adults and older people whose desired safeguarding outcomes are fully met</w:t>
            </w:r>
          </w:p>
        </w:tc>
        <w:tc>
          <w:tcPr>
            <w:tcW w:w="1246" w:type="dxa"/>
            <w:tcBorders>
              <w:top w:val="single" w:sz="4" w:space="0" w:color="auto"/>
              <w:left w:val="single" w:sz="4" w:space="0" w:color="auto"/>
              <w:bottom w:val="single" w:sz="4" w:space="0" w:color="auto"/>
              <w:right w:val="single" w:sz="4" w:space="0" w:color="auto"/>
            </w:tcBorders>
            <w:hideMark/>
          </w:tcPr>
          <w:p w14:paraId="2EDF116C" w14:textId="77777777" w:rsidR="00930B30" w:rsidRPr="00CA768A" w:rsidRDefault="00930B30" w:rsidP="00AF6B01">
            <w:pPr>
              <w:pStyle w:val="NoSpacing"/>
              <w:rPr>
                <w:rFonts w:ascii="Arial" w:hAnsi="Arial" w:cs="Arial"/>
                <w:i/>
              </w:rPr>
            </w:pPr>
            <w:r w:rsidRPr="00CA768A">
              <w:rPr>
                <w:rFonts w:ascii="Arial" w:hAnsi="Arial" w:cs="Arial"/>
              </w:rPr>
              <w:t>Quarterly</w:t>
            </w:r>
          </w:p>
        </w:tc>
        <w:tc>
          <w:tcPr>
            <w:tcW w:w="1957" w:type="dxa"/>
            <w:tcBorders>
              <w:top w:val="single" w:sz="4" w:space="0" w:color="auto"/>
              <w:left w:val="single" w:sz="4" w:space="0" w:color="auto"/>
              <w:bottom w:val="single" w:sz="4" w:space="0" w:color="auto"/>
              <w:right w:val="single" w:sz="4" w:space="0" w:color="auto"/>
            </w:tcBorders>
          </w:tcPr>
          <w:p w14:paraId="3EAC21C5" w14:textId="77777777" w:rsidR="00930B30" w:rsidRPr="00CA768A" w:rsidRDefault="00930B30" w:rsidP="00AF6B01">
            <w:pPr>
              <w:pStyle w:val="NoSpacing"/>
              <w:rPr>
                <w:rFonts w:ascii="Arial" w:hAnsi="Arial" w:cs="Arial"/>
              </w:rPr>
            </w:pPr>
            <w:r w:rsidRPr="00CA768A">
              <w:rPr>
                <w:rFonts w:ascii="Arial" w:hAnsi="Arial" w:cs="Arial"/>
              </w:rPr>
              <w:t>Adults Services and Health and Wellbeing</w:t>
            </w:r>
          </w:p>
        </w:tc>
        <w:tc>
          <w:tcPr>
            <w:tcW w:w="787" w:type="dxa"/>
            <w:tcBorders>
              <w:top w:val="single" w:sz="4" w:space="0" w:color="auto"/>
              <w:left w:val="single" w:sz="4" w:space="0" w:color="auto"/>
              <w:bottom w:val="single" w:sz="4" w:space="0" w:color="auto"/>
              <w:right w:val="single" w:sz="4" w:space="0" w:color="auto"/>
            </w:tcBorders>
          </w:tcPr>
          <w:p w14:paraId="6C984B9E" w14:textId="77777777" w:rsidR="00930B30" w:rsidRPr="00CA768A" w:rsidRDefault="00930B30" w:rsidP="00AF6B01">
            <w:pPr>
              <w:pStyle w:val="NoSpacing"/>
              <w:rPr>
                <w:rFonts w:ascii="Arial" w:hAnsi="Arial" w:cs="Arial"/>
              </w:rPr>
            </w:pPr>
            <w:r w:rsidRPr="00CA768A">
              <w:rPr>
                <w:rFonts w:ascii="Arial" w:hAnsi="Arial" w:cs="Arial"/>
              </w:rPr>
              <w:t>High</w:t>
            </w:r>
          </w:p>
        </w:tc>
        <w:tc>
          <w:tcPr>
            <w:tcW w:w="10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99F06C" w14:textId="77777777" w:rsidR="00930B30" w:rsidRPr="00CA768A" w:rsidRDefault="00930B30" w:rsidP="00AF6B01">
            <w:pPr>
              <w:pStyle w:val="NoSpacing"/>
              <w:rPr>
                <w:rFonts w:ascii="Arial" w:hAnsi="Arial" w:cs="Arial"/>
              </w:rPr>
            </w:pPr>
            <w:r w:rsidRPr="00CA768A">
              <w:rPr>
                <w:rFonts w:ascii="Arial" w:hAnsi="Arial" w:cs="Arial"/>
              </w:rPr>
              <w:t>63.0%</w:t>
            </w:r>
          </w:p>
        </w:tc>
        <w:tc>
          <w:tcPr>
            <w:tcW w:w="9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A93B2D" w14:textId="77777777" w:rsidR="00930B30" w:rsidRDefault="00930B30" w:rsidP="00AF6B01">
            <w:pPr>
              <w:pStyle w:val="NoSpacing"/>
              <w:rPr>
                <w:rFonts w:ascii="Arial" w:hAnsi="Arial" w:cs="Arial"/>
              </w:rPr>
            </w:pPr>
            <w:r w:rsidRPr="62385CB5">
              <w:rPr>
                <w:rFonts w:ascii="Arial" w:hAnsi="Arial" w:cs="Arial"/>
              </w:rPr>
              <w:t>65.4%</w:t>
            </w:r>
          </w:p>
          <w:p w14:paraId="244FDBF4" w14:textId="77777777" w:rsidR="00930B30" w:rsidRDefault="00930B30" w:rsidP="00AF6B01">
            <w:pPr>
              <w:pStyle w:val="NoSpacing"/>
            </w:pPr>
          </w:p>
        </w:tc>
        <w:tc>
          <w:tcPr>
            <w:tcW w:w="152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6B5F8BB" w14:textId="77777777" w:rsidR="00930B30" w:rsidRDefault="00930B30" w:rsidP="00AF6B01">
            <w:pPr>
              <w:pStyle w:val="NoSpacing"/>
              <w:rPr>
                <w:rFonts w:ascii="Arial" w:hAnsi="Arial" w:cs="Arial"/>
              </w:rPr>
            </w:pPr>
            <w:r w:rsidRPr="62385CB5">
              <w:rPr>
                <w:rFonts w:ascii="Arial" w:hAnsi="Arial" w:cs="Arial"/>
              </w:rPr>
              <w:t>65.9%</w:t>
            </w:r>
          </w:p>
          <w:p w14:paraId="2E13F6A6" w14:textId="77777777" w:rsidR="00930B30" w:rsidRDefault="00930B30" w:rsidP="00AF6B01">
            <w:pPr>
              <w:pStyle w:val="NoSpacing"/>
            </w:pPr>
          </w:p>
        </w:tc>
        <w:tc>
          <w:tcPr>
            <w:tcW w:w="119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EEA1A8A" w14:textId="77777777" w:rsidR="00930B30" w:rsidRPr="62385CB5" w:rsidRDefault="00930B30" w:rsidP="00AF6B01">
            <w:pPr>
              <w:pStyle w:val="NoSpacing"/>
              <w:rPr>
                <w:rFonts w:ascii="Arial" w:hAnsi="Arial" w:cs="Arial"/>
              </w:rPr>
            </w:pPr>
            <w:r>
              <w:rPr>
                <w:rFonts w:ascii="Arial" w:hAnsi="Arial" w:cs="Arial"/>
              </w:rPr>
              <w:t>66.9%</w:t>
            </w:r>
          </w:p>
        </w:tc>
        <w:tc>
          <w:tcPr>
            <w:tcW w:w="1195" w:type="dxa"/>
            <w:tcBorders>
              <w:top w:val="single" w:sz="4" w:space="0" w:color="auto"/>
              <w:left w:val="single" w:sz="4" w:space="0" w:color="auto"/>
              <w:bottom w:val="single" w:sz="4" w:space="0" w:color="auto"/>
              <w:right w:val="single" w:sz="4" w:space="0" w:color="auto"/>
            </w:tcBorders>
            <w:shd w:val="clear" w:color="auto" w:fill="FF0000"/>
          </w:tcPr>
          <w:p w14:paraId="060910FB" w14:textId="77777777" w:rsidR="00930B30" w:rsidRDefault="00930B30" w:rsidP="00AF6B01">
            <w:pPr>
              <w:pStyle w:val="NoSpacing"/>
              <w:rPr>
                <w:rFonts w:ascii="Arial" w:hAnsi="Arial" w:cs="Arial"/>
              </w:rPr>
            </w:pPr>
            <w:r w:rsidRPr="00A67FF7">
              <w:rPr>
                <w:rFonts w:ascii="Arial" w:hAnsi="Arial" w:cs="Arial"/>
                <w:color w:val="F2F2F2" w:themeColor="background1" w:themeShade="F2"/>
              </w:rPr>
              <w:t>61.4%</w:t>
            </w:r>
          </w:p>
        </w:tc>
        <w:tc>
          <w:tcPr>
            <w:tcW w:w="1149" w:type="dxa"/>
            <w:tcBorders>
              <w:top w:val="single" w:sz="4" w:space="0" w:color="auto"/>
              <w:left w:val="single" w:sz="4" w:space="0" w:color="auto"/>
              <w:bottom w:val="single" w:sz="4" w:space="0" w:color="auto"/>
              <w:right w:val="single" w:sz="4" w:space="0" w:color="auto"/>
            </w:tcBorders>
          </w:tcPr>
          <w:p w14:paraId="24DD0F6E" w14:textId="77777777" w:rsidR="00930B30" w:rsidRDefault="00930B30" w:rsidP="00AF6B01">
            <w:pPr>
              <w:pStyle w:val="NoSpacing"/>
              <w:rPr>
                <w:rFonts w:ascii="Arial" w:hAnsi="Arial" w:cs="Arial"/>
              </w:rPr>
            </w:pPr>
            <w:r w:rsidRPr="62385CB5">
              <w:rPr>
                <w:rFonts w:ascii="Arial" w:hAnsi="Arial" w:cs="Arial"/>
              </w:rPr>
              <w:t>70.0%</w:t>
            </w:r>
          </w:p>
          <w:p w14:paraId="4FA5A2D0" w14:textId="77777777" w:rsidR="00930B30" w:rsidRDefault="00930B30" w:rsidP="00AF6B01">
            <w:pPr>
              <w:pStyle w:val="NoSpacing"/>
            </w:pPr>
          </w:p>
        </w:tc>
      </w:tr>
      <w:tr w:rsidR="00FF69FC" w14:paraId="51D2CF29" w14:textId="77777777" w:rsidTr="001D2D9F">
        <w:trPr>
          <w:trHeight w:val="1620"/>
        </w:trPr>
        <w:tc>
          <w:tcPr>
            <w:tcW w:w="2865" w:type="dxa"/>
            <w:tcBorders>
              <w:top w:val="single" w:sz="4" w:space="0" w:color="auto"/>
              <w:left w:val="single" w:sz="4" w:space="0" w:color="auto"/>
              <w:bottom w:val="single" w:sz="4" w:space="0" w:color="auto"/>
              <w:right w:val="single" w:sz="4" w:space="0" w:color="auto"/>
            </w:tcBorders>
          </w:tcPr>
          <w:p w14:paraId="30BDD844" w14:textId="77777777" w:rsidR="00930B30" w:rsidRPr="00CA768A" w:rsidRDefault="00930B30" w:rsidP="00AF6B01">
            <w:pPr>
              <w:pStyle w:val="NoSpacing"/>
              <w:rPr>
                <w:rFonts w:ascii="Arial" w:hAnsi="Arial" w:cs="Arial"/>
              </w:rPr>
            </w:pPr>
            <w:r w:rsidRPr="78C3123E">
              <w:rPr>
                <w:rFonts w:ascii="Arial" w:hAnsi="Arial" w:cs="Arial"/>
              </w:rPr>
              <w:t xml:space="preserve">Percentage of Care Homes in Lancashire rated as Good or Outstanding – all Care Home provision </w:t>
            </w:r>
          </w:p>
          <w:p w14:paraId="7E1E78CC" w14:textId="77777777" w:rsidR="00930B30" w:rsidRPr="00CA768A" w:rsidRDefault="00930B30" w:rsidP="00AF6B01">
            <w:pPr>
              <w:pStyle w:val="NoSpacing"/>
              <w:rPr>
                <w:rFonts w:ascii="Arial" w:hAnsi="Arial" w:cs="Arial"/>
              </w:rPr>
            </w:pPr>
            <w:r w:rsidRPr="00CA768A">
              <w:rPr>
                <w:rFonts w:ascii="Arial" w:hAnsi="Arial" w:cs="Arial"/>
              </w:rPr>
              <w:t>(LCC and non-LCC maintained)</w:t>
            </w:r>
          </w:p>
        </w:tc>
        <w:tc>
          <w:tcPr>
            <w:tcW w:w="1246" w:type="dxa"/>
            <w:tcBorders>
              <w:top w:val="single" w:sz="4" w:space="0" w:color="auto"/>
              <w:left w:val="single" w:sz="4" w:space="0" w:color="auto"/>
              <w:bottom w:val="single" w:sz="4" w:space="0" w:color="auto"/>
              <w:right w:val="single" w:sz="4" w:space="0" w:color="auto"/>
            </w:tcBorders>
          </w:tcPr>
          <w:p w14:paraId="720D30FA" w14:textId="77777777" w:rsidR="00930B30" w:rsidRPr="00CA768A" w:rsidRDefault="00930B30" w:rsidP="00AF6B01">
            <w:pPr>
              <w:pStyle w:val="NoSpacing"/>
              <w:rPr>
                <w:rFonts w:ascii="Arial" w:hAnsi="Arial" w:cs="Arial"/>
              </w:rPr>
            </w:pPr>
            <w:r w:rsidRPr="00CA768A">
              <w:rPr>
                <w:rFonts w:ascii="Arial" w:hAnsi="Arial" w:cs="Arial"/>
              </w:rPr>
              <w:t>Quarterly</w:t>
            </w:r>
          </w:p>
        </w:tc>
        <w:tc>
          <w:tcPr>
            <w:tcW w:w="1957" w:type="dxa"/>
            <w:tcBorders>
              <w:top w:val="single" w:sz="4" w:space="0" w:color="auto"/>
              <w:left w:val="single" w:sz="4" w:space="0" w:color="auto"/>
              <w:bottom w:val="single" w:sz="4" w:space="0" w:color="auto"/>
              <w:right w:val="single" w:sz="4" w:space="0" w:color="auto"/>
            </w:tcBorders>
          </w:tcPr>
          <w:p w14:paraId="7F1CE539" w14:textId="77777777" w:rsidR="00930B30" w:rsidRPr="00CA768A" w:rsidRDefault="00930B30" w:rsidP="00AF6B01">
            <w:pPr>
              <w:pStyle w:val="NoSpacing"/>
              <w:rPr>
                <w:rFonts w:ascii="Arial" w:hAnsi="Arial" w:cs="Arial"/>
              </w:rPr>
            </w:pPr>
            <w:r w:rsidRPr="00CA768A">
              <w:rPr>
                <w:rFonts w:ascii="Arial" w:hAnsi="Arial" w:cs="Arial"/>
              </w:rPr>
              <w:t>Adults Services and Health and Wellbeing</w:t>
            </w:r>
          </w:p>
        </w:tc>
        <w:tc>
          <w:tcPr>
            <w:tcW w:w="787" w:type="dxa"/>
            <w:tcBorders>
              <w:top w:val="single" w:sz="4" w:space="0" w:color="auto"/>
              <w:left w:val="single" w:sz="4" w:space="0" w:color="auto"/>
              <w:bottom w:val="single" w:sz="4" w:space="0" w:color="auto"/>
              <w:right w:val="single" w:sz="4" w:space="0" w:color="auto"/>
            </w:tcBorders>
          </w:tcPr>
          <w:p w14:paraId="1292A609" w14:textId="77777777" w:rsidR="00930B30" w:rsidRPr="00CA768A" w:rsidRDefault="00930B30" w:rsidP="00AF6B01">
            <w:pPr>
              <w:pStyle w:val="NoSpacing"/>
              <w:rPr>
                <w:rFonts w:ascii="Arial" w:hAnsi="Arial" w:cs="Arial"/>
              </w:rPr>
            </w:pPr>
            <w:r w:rsidRPr="00CA768A">
              <w:rPr>
                <w:rFonts w:ascii="Arial" w:hAnsi="Arial" w:cs="Arial"/>
              </w:rPr>
              <w:t>High</w:t>
            </w:r>
          </w:p>
        </w:tc>
        <w:tc>
          <w:tcPr>
            <w:tcW w:w="10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F85128" w14:textId="77777777" w:rsidR="00930B30" w:rsidRPr="00CA768A" w:rsidRDefault="00930B30" w:rsidP="00AF6B01">
            <w:pPr>
              <w:pStyle w:val="NoSpacing"/>
              <w:rPr>
                <w:rFonts w:ascii="Arial" w:hAnsi="Arial" w:cs="Arial"/>
              </w:rPr>
            </w:pPr>
            <w:r w:rsidRPr="00CA768A">
              <w:rPr>
                <w:rFonts w:ascii="Arial" w:hAnsi="Arial" w:cs="Arial"/>
              </w:rPr>
              <w:t>84.8%</w:t>
            </w:r>
          </w:p>
        </w:tc>
        <w:tc>
          <w:tcPr>
            <w:tcW w:w="9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4E339D" w14:textId="77777777" w:rsidR="00930B30" w:rsidRDefault="00930B30" w:rsidP="00AF6B01">
            <w:pPr>
              <w:pStyle w:val="NoSpacing"/>
              <w:rPr>
                <w:rFonts w:ascii="Arial" w:hAnsi="Arial" w:cs="Arial"/>
              </w:rPr>
            </w:pPr>
            <w:r w:rsidRPr="62385CB5">
              <w:rPr>
                <w:rFonts w:ascii="Arial" w:hAnsi="Arial" w:cs="Arial"/>
              </w:rPr>
              <w:t>83.9%</w:t>
            </w:r>
          </w:p>
          <w:p w14:paraId="4E1EDDD5" w14:textId="77777777" w:rsidR="00930B30" w:rsidRDefault="00930B30" w:rsidP="00AF6B01">
            <w:pPr>
              <w:pStyle w:val="NoSpacing"/>
            </w:pPr>
          </w:p>
        </w:tc>
        <w:tc>
          <w:tcPr>
            <w:tcW w:w="152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1311F61" w14:textId="77777777" w:rsidR="00930B30" w:rsidRDefault="00930B30" w:rsidP="00AF6B01">
            <w:pPr>
              <w:pStyle w:val="NoSpacing"/>
              <w:rPr>
                <w:rFonts w:ascii="Arial" w:hAnsi="Arial" w:cs="Arial"/>
              </w:rPr>
            </w:pPr>
            <w:r w:rsidRPr="78C3123E">
              <w:rPr>
                <w:rFonts w:ascii="Arial" w:hAnsi="Arial" w:cs="Arial"/>
              </w:rPr>
              <w:t>81.8%</w:t>
            </w:r>
          </w:p>
          <w:p w14:paraId="248D8E67" w14:textId="77777777" w:rsidR="00930B30" w:rsidRDefault="00930B30" w:rsidP="00AF6B01">
            <w:pPr>
              <w:pStyle w:val="NoSpacing"/>
            </w:pPr>
          </w:p>
        </w:tc>
        <w:tc>
          <w:tcPr>
            <w:tcW w:w="119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9CC7CD" w14:textId="77777777" w:rsidR="00930B30" w:rsidRPr="62385CB5" w:rsidRDefault="00930B30" w:rsidP="00AF6B01">
            <w:pPr>
              <w:pStyle w:val="NoSpacing"/>
              <w:rPr>
                <w:rFonts w:ascii="Arial" w:hAnsi="Arial" w:cs="Arial"/>
              </w:rPr>
            </w:pPr>
            <w:r>
              <w:rPr>
                <w:rFonts w:ascii="Arial" w:hAnsi="Arial" w:cs="Arial"/>
              </w:rPr>
              <w:t>80.1%</w:t>
            </w:r>
          </w:p>
        </w:tc>
        <w:tc>
          <w:tcPr>
            <w:tcW w:w="119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AA0121" w14:textId="77777777" w:rsidR="00930B30" w:rsidRDefault="00930B30" w:rsidP="00AF6B01">
            <w:pPr>
              <w:pStyle w:val="NoSpacing"/>
              <w:rPr>
                <w:rFonts w:ascii="Arial" w:hAnsi="Arial" w:cs="Arial"/>
              </w:rPr>
            </w:pPr>
            <w:r w:rsidRPr="114D10C4">
              <w:rPr>
                <w:rFonts w:ascii="Arial" w:hAnsi="Arial" w:cs="Arial"/>
              </w:rPr>
              <w:t>80.1%</w:t>
            </w:r>
          </w:p>
        </w:tc>
        <w:tc>
          <w:tcPr>
            <w:tcW w:w="1149" w:type="dxa"/>
            <w:tcBorders>
              <w:top w:val="single" w:sz="4" w:space="0" w:color="auto"/>
              <w:left w:val="single" w:sz="4" w:space="0" w:color="auto"/>
              <w:bottom w:val="single" w:sz="4" w:space="0" w:color="auto"/>
              <w:right w:val="single" w:sz="4" w:space="0" w:color="auto"/>
            </w:tcBorders>
          </w:tcPr>
          <w:p w14:paraId="76FA19EA" w14:textId="77777777" w:rsidR="00930B30" w:rsidRDefault="00930B30" w:rsidP="00AF6B01">
            <w:pPr>
              <w:pStyle w:val="NoSpacing"/>
              <w:rPr>
                <w:rFonts w:ascii="Arial" w:hAnsi="Arial" w:cs="Arial"/>
              </w:rPr>
            </w:pPr>
            <w:r w:rsidRPr="62385CB5">
              <w:rPr>
                <w:rFonts w:ascii="Arial" w:hAnsi="Arial" w:cs="Arial"/>
              </w:rPr>
              <w:t>83.5%</w:t>
            </w:r>
          </w:p>
          <w:p w14:paraId="73C1186C" w14:textId="77777777" w:rsidR="00930B30" w:rsidRDefault="00930B30" w:rsidP="00AF6B01">
            <w:pPr>
              <w:pStyle w:val="NoSpacing"/>
            </w:pPr>
          </w:p>
        </w:tc>
      </w:tr>
      <w:tr w:rsidR="00FF69FC" w14:paraId="569594B8" w14:textId="77777777" w:rsidTr="001D2D9F">
        <w:trPr>
          <w:trHeight w:val="1572"/>
        </w:trPr>
        <w:tc>
          <w:tcPr>
            <w:tcW w:w="2865" w:type="dxa"/>
            <w:tcBorders>
              <w:top w:val="single" w:sz="4" w:space="0" w:color="auto"/>
              <w:left w:val="single" w:sz="4" w:space="0" w:color="auto"/>
              <w:bottom w:val="single" w:sz="4" w:space="0" w:color="auto"/>
              <w:right w:val="single" w:sz="4" w:space="0" w:color="auto"/>
            </w:tcBorders>
          </w:tcPr>
          <w:p w14:paraId="1F622F57" w14:textId="77777777" w:rsidR="00930B30" w:rsidRPr="00CA768A" w:rsidRDefault="00930B30" w:rsidP="00AF6B01">
            <w:pPr>
              <w:pStyle w:val="NoSpacing"/>
              <w:rPr>
                <w:rFonts w:ascii="Arial" w:hAnsi="Arial" w:cs="Arial"/>
              </w:rPr>
            </w:pPr>
            <w:r w:rsidRPr="00CA768A">
              <w:rPr>
                <w:rFonts w:ascii="Arial" w:hAnsi="Arial" w:cs="Arial"/>
              </w:rPr>
              <w:t xml:space="preserve">Percentage </w:t>
            </w:r>
            <w:r>
              <w:rPr>
                <w:rFonts w:ascii="Arial" w:hAnsi="Arial" w:cs="Arial"/>
              </w:rPr>
              <w:t xml:space="preserve">of </w:t>
            </w:r>
            <w:r w:rsidRPr="00CA768A">
              <w:rPr>
                <w:rFonts w:ascii="Arial" w:hAnsi="Arial" w:cs="Arial"/>
              </w:rPr>
              <w:t>care providers in the community rated as Good or Outstanding - all Community Based provision</w:t>
            </w:r>
          </w:p>
          <w:p w14:paraId="14BECF1C" w14:textId="77777777" w:rsidR="00930B30" w:rsidRPr="00CA768A" w:rsidRDefault="00930B30" w:rsidP="00AF6B01">
            <w:pPr>
              <w:pStyle w:val="NoSpacing"/>
              <w:rPr>
                <w:rFonts w:ascii="Arial" w:hAnsi="Arial" w:cs="Arial"/>
              </w:rPr>
            </w:pPr>
            <w:r w:rsidRPr="00CA768A">
              <w:rPr>
                <w:rFonts w:ascii="Arial" w:hAnsi="Arial" w:cs="Arial"/>
              </w:rPr>
              <w:t>(LCC and non-LCC maintained)</w:t>
            </w:r>
          </w:p>
        </w:tc>
        <w:tc>
          <w:tcPr>
            <w:tcW w:w="1246" w:type="dxa"/>
            <w:tcBorders>
              <w:top w:val="single" w:sz="4" w:space="0" w:color="auto"/>
              <w:left w:val="single" w:sz="4" w:space="0" w:color="auto"/>
              <w:bottom w:val="single" w:sz="4" w:space="0" w:color="auto"/>
              <w:right w:val="single" w:sz="4" w:space="0" w:color="auto"/>
            </w:tcBorders>
          </w:tcPr>
          <w:p w14:paraId="771C28FB" w14:textId="77777777" w:rsidR="00930B30" w:rsidRPr="00CA768A" w:rsidRDefault="00930B30" w:rsidP="00AF6B01">
            <w:pPr>
              <w:pStyle w:val="NoSpacing"/>
              <w:rPr>
                <w:rFonts w:ascii="Arial" w:hAnsi="Arial" w:cs="Arial"/>
              </w:rPr>
            </w:pPr>
            <w:r w:rsidRPr="00CA768A">
              <w:rPr>
                <w:rFonts w:ascii="Arial" w:hAnsi="Arial" w:cs="Arial"/>
              </w:rPr>
              <w:t>Quarterly</w:t>
            </w:r>
          </w:p>
        </w:tc>
        <w:tc>
          <w:tcPr>
            <w:tcW w:w="1957" w:type="dxa"/>
            <w:tcBorders>
              <w:top w:val="single" w:sz="4" w:space="0" w:color="auto"/>
              <w:left w:val="single" w:sz="4" w:space="0" w:color="auto"/>
              <w:bottom w:val="single" w:sz="4" w:space="0" w:color="auto"/>
              <w:right w:val="single" w:sz="4" w:space="0" w:color="auto"/>
            </w:tcBorders>
          </w:tcPr>
          <w:p w14:paraId="0E5D0DC9" w14:textId="77777777" w:rsidR="00930B30" w:rsidRPr="00CA768A" w:rsidRDefault="00930B30" w:rsidP="00AF6B01">
            <w:pPr>
              <w:pStyle w:val="NoSpacing"/>
              <w:rPr>
                <w:rFonts w:ascii="Arial" w:hAnsi="Arial" w:cs="Arial"/>
              </w:rPr>
            </w:pPr>
            <w:r w:rsidRPr="00CA768A">
              <w:rPr>
                <w:rFonts w:ascii="Arial" w:hAnsi="Arial" w:cs="Arial"/>
              </w:rPr>
              <w:t>Adults Services and Health and Wellbeing</w:t>
            </w:r>
          </w:p>
        </w:tc>
        <w:tc>
          <w:tcPr>
            <w:tcW w:w="787" w:type="dxa"/>
            <w:tcBorders>
              <w:top w:val="single" w:sz="4" w:space="0" w:color="auto"/>
              <w:left w:val="single" w:sz="4" w:space="0" w:color="auto"/>
              <w:bottom w:val="single" w:sz="4" w:space="0" w:color="auto"/>
              <w:right w:val="single" w:sz="4" w:space="0" w:color="auto"/>
            </w:tcBorders>
          </w:tcPr>
          <w:p w14:paraId="22E6A160" w14:textId="77777777" w:rsidR="00930B30" w:rsidRPr="00CA768A" w:rsidRDefault="00930B30" w:rsidP="00AF6B01">
            <w:pPr>
              <w:pStyle w:val="NoSpacing"/>
              <w:rPr>
                <w:rFonts w:ascii="Arial" w:hAnsi="Arial" w:cs="Arial"/>
              </w:rPr>
            </w:pPr>
            <w:r w:rsidRPr="00CA768A">
              <w:rPr>
                <w:rFonts w:ascii="Arial" w:hAnsi="Arial" w:cs="Arial"/>
              </w:rPr>
              <w:t>High</w:t>
            </w:r>
          </w:p>
        </w:tc>
        <w:tc>
          <w:tcPr>
            <w:tcW w:w="10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C9B30D" w14:textId="77777777" w:rsidR="00930B30" w:rsidRPr="00CA768A" w:rsidRDefault="00930B30" w:rsidP="00AF6B01">
            <w:pPr>
              <w:pStyle w:val="NoSpacing"/>
              <w:rPr>
                <w:rFonts w:ascii="Arial" w:hAnsi="Arial" w:cs="Arial"/>
              </w:rPr>
            </w:pPr>
            <w:r w:rsidRPr="00CA768A">
              <w:rPr>
                <w:rFonts w:ascii="Arial" w:hAnsi="Arial" w:cs="Arial"/>
              </w:rPr>
              <w:t>94.2%</w:t>
            </w:r>
          </w:p>
        </w:tc>
        <w:tc>
          <w:tcPr>
            <w:tcW w:w="9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E69EA9" w14:textId="77777777" w:rsidR="00930B30" w:rsidRDefault="00930B30" w:rsidP="00AF6B01">
            <w:pPr>
              <w:pStyle w:val="NoSpacing"/>
              <w:rPr>
                <w:rFonts w:ascii="Arial" w:hAnsi="Arial" w:cs="Arial"/>
              </w:rPr>
            </w:pPr>
            <w:r w:rsidRPr="62385CB5">
              <w:rPr>
                <w:rFonts w:ascii="Arial" w:hAnsi="Arial" w:cs="Arial"/>
              </w:rPr>
              <w:t>95.6%</w:t>
            </w:r>
          </w:p>
          <w:p w14:paraId="5261A84A" w14:textId="77777777" w:rsidR="00930B30" w:rsidRDefault="00930B30" w:rsidP="00AF6B01">
            <w:pPr>
              <w:pStyle w:val="NoSpacing"/>
            </w:pPr>
          </w:p>
        </w:tc>
        <w:tc>
          <w:tcPr>
            <w:tcW w:w="152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81F222" w14:textId="77777777" w:rsidR="00930B30" w:rsidRDefault="00930B30" w:rsidP="00AF6B01">
            <w:pPr>
              <w:pStyle w:val="NoSpacing"/>
              <w:rPr>
                <w:rFonts w:ascii="Arial" w:hAnsi="Arial" w:cs="Arial"/>
              </w:rPr>
            </w:pPr>
            <w:r w:rsidRPr="62385CB5">
              <w:rPr>
                <w:rFonts w:ascii="Arial" w:hAnsi="Arial" w:cs="Arial"/>
              </w:rPr>
              <w:t>95.3%</w:t>
            </w:r>
          </w:p>
          <w:p w14:paraId="1F32AE43" w14:textId="77777777" w:rsidR="00930B30" w:rsidRDefault="00930B30" w:rsidP="00AF6B01">
            <w:pPr>
              <w:pStyle w:val="NoSpacing"/>
            </w:pPr>
          </w:p>
        </w:tc>
        <w:tc>
          <w:tcPr>
            <w:tcW w:w="11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5404BF" w14:textId="77777777" w:rsidR="00930B30" w:rsidRPr="78C3123E" w:rsidRDefault="00930B30" w:rsidP="00AF6B01">
            <w:pPr>
              <w:pStyle w:val="NoSpacing"/>
              <w:rPr>
                <w:rFonts w:ascii="Arial" w:hAnsi="Arial" w:cs="Arial"/>
              </w:rPr>
            </w:pPr>
            <w:r>
              <w:rPr>
                <w:rFonts w:ascii="Arial" w:hAnsi="Arial" w:cs="Arial"/>
              </w:rPr>
              <w:t>96.0%</w:t>
            </w:r>
          </w:p>
        </w:tc>
        <w:tc>
          <w:tcPr>
            <w:tcW w:w="119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470D60" w14:textId="77777777" w:rsidR="00930B30" w:rsidRDefault="00930B30" w:rsidP="00AF6B01">
            <w:pPr>
              <w:pStyle w:val="NoSpacing"/>
              <w:rPr>
                <w:rFonts w:ascii="Arial" w:hAnsi="Arial" w:cs="Arial"/>
              </w:rPr>
            </w:pPr>
            <w:r w:rsidRPr="114D10C4">
              <w:rPr>
                <w:rFonts w:ascii="Arial" w:hAnsi="Arial" w:cs="Arial"/>
              </w:rPr>
              <w:t>94.7%</w:t>
            </w:r>
          </w:p>
        </w:tc>
        <w:tc>
          <w:tcPr>
            <w:tcW w:w="1149" w:type="dxa"/>
            <w:tcBorders>
              <w:top w:val="single" w:sz="4" w:space="0" w:color="auto"/>
              <w:left w:val="single" w:sz="4" w:space="0" w:color="auto"/>
              <w:bottom w:val="single" w:sz="4" w:space="0" w:color="auto"/>
              <w:right w:val="single" w:sz="4" w:space="0" w:color="auto"/>
            </w:tcBorders>
          </w:tcPr>
          <w:p w14:paraId="10D8C444" w14:textId="77777777" w:rsidR="00930B30" w:rsidRDefault="00930B30" w:rsidP="00AF6B01">
            <w:pPr>
              <w:pStyle w:val="NoSpacing"/>
              <w:rPr>
                <w:rFonts w:ascii="Arial" w:hAnsi="Arial" w:cs="Arial"/>
              </w:rPr>
            </w:pPr>
            <w:r w:rsidRPr="78C3123E">
              <w:rPr>
                <w:rFonts w:ascii="Arial" w:hAnsi="Arial" w:cs="Arial"/>
              </w:rPr>
              <w:t>96.0%</w:t>
            </w:r>
          </w:p>
          <w:p w14:paraId="66EE1481" w14:textId="77777777" w:rsidR="00930B30" w:rsidRDefault="00930B30" w:rsidP="00AF6B01">
            <w:pPr>
              <w:pStyle w:val="NoSpacing"/>
            </w:pPr>
          </w:p>
        </w:tc>
      </w:tr>
    </w:tbl>
    <w:p w14:paraId="24A6BAA4" w14:textId="77777777" w:rsidR="0011179B" w:rsidRDefault="0011179B" w:rsidP="00930B30">
      <w:pPr>
        <w:rPr>
          <w:rFonts w:cs="Arial"/>
          <w:b/>
          <w:sz w:val="22"/>
          <w:szCs w:val="22"/>
        </w:rPr>
      </w:pPr>
    </w:p>
    <w:p w14:paraId="0814AAC2" w14:textId="03BD1375" w:rsidR="009A3C6D" w:rsidRPr="009A3C6D" w:rsidRDefault="00930B30" w:rsidP="009A3C6D">
      <w:pPr>
        <w:rPr>
          <w:rFonts w:eastAsia="Arial" w:cs="Arial"/>
          <w:color w:val="000000" w:themeColor="text1"/>
        </w:rPr>
      </w:pPr>
      <w:r w:rsidRPr="009A3C6D">
        <w:rPr>
          <w:rFonts w:cs="Arial"/>
          <w:b/>
          <w:bCs/>
        </w:rPr>
        <w:t>Safeguarding outcomes.</w:t>
      </w:r>
      <w:r w:rsidR="0011179B" w:rsidRPr="009A3C6D">
        <w:rPr>
          <w:rFonts w:cs="Arial"/>
          <w:b/>
          <w:bCs/>
        </w:rPr>
        <w:t xml:space="preserve"> </w:t>
      </w:r>
      <w:r w:rsidR="00E73ECA">
        <w:rPr>
          <w:rFonts w:eastAsia="Arial" w:cs="Arial"/>
          <w:color w:val="000000" w:themeColor="text1"/>
        </w:rPr>
        <w:t>There were 2,180 safeguarding alerts during Q3 and although</w:t>
      </w:r>
      <w:r w:rsidR="00FE294A">
        <w:rPr>
          <w:rFonts w:eastAsia="Arial" w:cs="Arial"/>
          <w:color w:val="000000" w:themeColor="text1"/>
        </w:rPr>
        <w:t xml:space="preserve"> f</w:t>
      </w:r>
      <w:r w:rsidR="00CB531B">
        <w:rPr>
          <w:rFonts w:eastAsia="Arial" w:cs="Arial"/>
          <w:color w:val="000000" w:themeColor="text1"/>
        </w:rPr>
        <w:t>ewer people</w:t>
      </w:r>
      <w:r w:rsidR="009A3C6D" w:rsidRPr="009A3C6D">
        <w:rPr>
          <w:rFonts w:eastAsia="Arial" w:cs="Arial"/>
          <w:color w:val="000000" w:themeColor="text1"/>
        </w:rPr>
        <w:t xml:space="preserve"> indicated that their safeguarding outcomes were fully met</w:t>
      </w:r>
      <w:r w:rsidR="00CB531B">
        <w:rPr>
          <w:rFonts w:eastAsia="Arial" w:cs="Arial"/>
          <w:color w:val="000000" w:themeColor="text1"/>
        </w:rPr>
        <w:t xml:space="preserve"> in Q3</w:t>
      </w:r>
      <w:r w:rsidR="009A3C6D" w:rsidRPr="009A3C6D">
        <w:rPr>
          <w:rFonts w:eastAsia="Arial" w:cs="Arial"/>
          <w:color w:val="000000" w:themeColor="text1"/>
        </w:rPr>
        <w:t>, with performance dropping to 61.4%</w:t>
      </w:r>
      <w:r w:rsidR="00FE294A">
        <w:rPr>
          <w:rFonts w:eastAsia="Arial" w:cs="Arial"/>
          <w:color w:val="000000" w:themeColor="text1"/>
        </w:rPr>
        <w:t xml:space="preserve">, </w:t>
      </w:r>
      <w:r w:rsidR="009A3C6D" w:rsidRPr="009A3C6D">
        <w:rPr>
          <w:rFonts w:eastAsia="Arial" w:cs="Arial"/>
          <w:color w:val="000000" w:themeColor="text1"/>
        </w:rPr>
        <w:t xml:space="preserve">97% of people indicated that their desired safeguarding outcomes were partially or fully achieved. </w:t>
      </w:r>
      <w:r w:rsidR="006D19A2">
        <w:rPr>
          <w:rFonts w:eastAsia="Arial" w:cs="Arial"/>
          <w:color w:val="000000" w:themeColor="text1"/>
        </w:rPr>
        <w:t xml:space="preserve"> </w:t>
      </w:r>
    </w:p>
    <w:p w14:paraId="72D98DBA" w14:textId="3FC64894" w:rsidR="004B462B" w:rsidRPr="009A3C6D" w:rsidRDefault="009A3C6D" w:rsidP="00930B30">
      <w:pPr>
        <w:rPr>
          <w:rFonts w:cs="Arial"/>
          <w:b/>
          <w:bCs/>
        </w:rPr>
      </w:pPr>
      <w:r w:rsidRPr="009A3C6D">
        <w:rPr>
          <w:rFonts w:eastAsia="Arial" w:cs="Arial"/>
          <w:lang w:val="en-US"/>
        </w:rPr>
        <w:t xml:space="preserve">The safeguarding service </w:t>
      </w:r>
      <w:r w:rsidR="00CA049F">
        <w:rPr>
          <w:rFonts w:eastAsia="Arial" w:cs="Arial"/>
          <w:lang w:val="en-US"/>
        </w:rPr>
        <w:t>is</w:t>
      </w:r>
      <w:r w:rsidRPr="009A3C6D">
        <w:rPr>
          <w:rFonts w:eastAsia="Arial" w:cs="Arial"/>
          <w:lang w:val="en-US"/>
        </w:rPr>
        <w:t xml:space="preserve"> implement</w:t>
      </w:r>
      <w:r w:rsidR="00CA049F">
        <w:rPr>
          <w:rFonts w:eastAsia="Arial" w:cs="Arial"/>
          <w:lang w:val="en-US"/>
        </w:rPr>
        <w:t>ing</w:t>
      </w:r>
      <w:r w:rsidRPr="009A3C6D">
        <w:rPr>
          <w:rFonts w:eastAsia="Arial" w:cs="Arial"/>
          <w:lang w:val="en-US"/>
        </w:rPr>
        <w:t xml:space="preserve"> a whole service safeguarding transformation to improve procedures, reduce waste and duplication in the system, enhance and develop collaborative working with </w:t>
      </w:r>
      <w:r w:rsidR="00FF0FB6">
        <w:rPr>
          <w:rFonts w:eastAsia="Arial" w:cs="Arial"/>
          <w:lang w:val="en-US"/>
        </w:rPr>
        <w:t>p</w:t>
      </w:r>
      <w:r w:rsidRPr="009A3C6D">
        <w:rPr>
          <w:rFonts w:eastAsia="Arial" w:cs="Arial"/>
          <w:lang w:val="en-US"/>
        </w:rPr>
        <w:t>artners and importantly improve customer experience and outcomes.  New ways of working are already demonstrating improved timescales in responding.  This means that safeguarding enquiries are being dealt with quicker and appropriately including referring to a partner agency to complete and seek to deliver on outcomes</w:t>
      </w:r>
      <w:r w:rsidR="00FF0FB6">
        <w:rPr>
          <w:rFonts w:eastAsia="Arial" w:cs="Arial"/>
          <w:lang w:val="en-US"/>
        </w:rPr>
        <w:t>.</w:t>
      </w:r>
    </w:p>
    <w:p w14:paraId="5C234FD7" w14:textId="6E1CF903" w:rsidR="00930B30" w:rsidRPr="00C42CB4" w:rsidRDefault="00930B30" w:rsidP="00930B30">
      <w:pPr>
        <w:rPr>
          <w:rFonts w:asciiTheme="minorHAnsi" w:eastAsiaTheme="minorEastAsia" w:hAnsiTheme="minorHAnsi" w:cstheme="minorBidi"/>
          <w:color w:val="000000" w:themeColor="text1"/>
          <w:lang w:val="en-US"/>
        </w:rPr>
      </w:pPr>
      <w:r w:rsidRPr="114D10C4">
        <w:rPr>
          <w:rFonts w:cs="Arial"/>
          <w:b/>
          <w:bCs/>
        </w:rPr>
        <w:lastRenderedPageBreak/>
        <w:t>Quality of care homes.</w:t>
      </w:r>
      <w:r w:rsidRPr="114D10C4">
        <w:rPr>
          <w:rFonts w:cs="Arial"/>
        </w:rPr>
        <w:t xml:space="preserve"> </w:t>
      </w:r>
      <w:r w:rsidRPr="00A6082A">
        <w:rPr>
          <w:rFonts w:eastAsia="Arial" w:cs="Arial"/>
        </w:rPr>
        <w:t xml:space="preserve">Across Lancashire 80% of care homes are rated good or outstanding by the Care Quality Commission (CQC), which is </w:t>
      </w:r>
      <w:r w:rsidR="00FF0FB6">
        <w:rPr>
          <w:rFonts w:eastAsia="Arial" w:cs="Arial"/>
        </w:rPr>
        <w:t>slightly below</w:t>
      </w:r>
      <w:r w:rsidRPr="00A6082A">
        <w:rPr>
          <w:rFonts w:eastAsia="Arial" w:cs="Arial"/>
        </w:rPr>
        <w:t xml:space="preserve"> national performance (82%). Inspections of care homes </w:t>
      </w:r>
      <w:r w:rsidR="005438C1">
        <w:rPr>
          <w:rFonts w:eastAsia="Arial" w:cs="Arial"/>
        </w:rPr>
        <w:t>re</w:t>
      </w:r>
      <w:r w:rsidRPr="00A6082A">
        <w:rPr>
          <w:rFonts w:eastAsia="Arial" w:cs="Arial"/>
        </w:rPr>
        <w:t>commence</w:t>
      </w:r>
      <w:r w:rsidR="00766320">
        <w:rPr>
          <w:rFonts w:eastAsia="Arial" w:cs="Arial"/>
        </w:rPr>
        <w:t>d</w:t>
      </w:r>
      <w:r w:rsidRPr="00A6082A">
        <w:rPr>
          <w:rFonts w:eastAsia="Arial" w:cs="Arial"/>
        </w:rPr>
        <w:t xml:space="preserve"> slowly across the country following the pandemic.  In Lancashire 29 inspections were published in the third quarter of 2021/22 compared to 11 in the same period in 2020/21. No L</w:t>
      </w:r>
      <w:r w:rsidR="00395769">
        <w:rPr>
          <w:rFonts w:eastAsia="Arial" w:cs="Arial"/>
        </w:rPr>
        <w:t xml:space="preserve">ancashire </w:t>
      </w:r>
      <w:r w:rsidRPr="00A6082A">
        <w:rPr>
          <w:rFonts w:eastAsia="Arial" w:cs="Arial"/>
        </w:rPr>
        <w:t>C</w:t>
      </w:r>
      <w:r w:rsidR="00395769">
        <w:rPr>
          <w:rFonts w:eastAsia="Arial" w:cs="Arial"/>
        </w:rPr>
        <w:t xml:space="preserve">ounty </w:t>
      </w:r>
      <w:r w:rsidRPr="00A6082A">
        <w:rPr>
          <w:rFonts w:eastAsia="Arial" w:cs="Arial"/>
        </w:rPr>
        <w:t>C</w:t>
      </w:r>
      <w:r w:rsidR="00395769">
        <w:rPr>
          <w:rFonts w:eastAsia="Arial" w:cs="Arial"/>
        </w:rPr>
        <w:t xml:space="preserve">ouncil </w:t>
      </w:r>
      <w:r w:rsidRPr="00A6082A">
        <w:rPr>
          <w:rFonts w:eastAsia="Arial" w:cs="Arial"/>
        </w:rPr>
        <w:t>maintained care homes w</w:t>
      </w:r>
      <w:r w:rsidR="00395769">
        <w:rPr>
          <w:rFonts w:eastAsia="Arial" w:cs="Arial"/>
        </w:rPr>
        <w:t>ere</w:t>
      </w:r>
      <w:r w:rsidRPr="00A6082A">
        <w:rPr>
          <w:rFonts w:eastAsia="Arial" w:cs="Arial"/>
        </w:rPr>
        <w:t xml:space="preserve"> inspected in this period.</w:t>
      </w:r>
    </w:p>
    <w:p w14:paraId="51BAD667" w14:textId="77777777" w:rsidR="00930B30" w:rsidRPr="00A6082A" w:rsidRDefault="00930B30" w:rsidP="00930B30">
      <w:pPr>
        <w:rPr>
          <w:rFonts w:eastAsia="Arial" w:cs="Arial"/>
          <w:b/>
          <w:bCs/>
          <w:color w:val="FF0000"/>
        </w:rPr>
      </w:pPr>
      <w:r w:rsidRPr="00A6082A">
        <w:rPr>
          <w:rFonts w:eastAsia="Arial" w:cs="Arial"/>
        </w:rPr>
        <w:t xml:space="preserve">Lancashire County Council maintains 16 care homes for older people, 11 of which are currently rated good or outstanding with five care homes requiring improvement. The homes currently rated as requiring improvement are Castleford, </w:t>
      </w:r>
      <w:proofErr w:type="spellStart"/>
      <w:r w:rsidRPr="00A6082A">
        <w:rPr>
          <w:rFonts w:eastAsia="Arial" w:cs="Arial"/>
        </w:rPr>
        <w:t>Dolphinlee</w:t>
      </w:r>
      <w:proofErr w:type="spellEnd"/>
      <w:r w:rsidRPr="00A6082A">
        <w:rPr>
          <w:rFonts w:eastAsia="Arial" w:cs="Arial"/>
        </w:rPr>
        <w:t>, Woodlands, Grove House and Thornton House. Three of these inspections took place in 2019 and the themes across the homes identified issues with record keeping, responsiveness to call bells, staff skill mix, staff shortages, quality assurance processes, handling of medicines and service management and leadership. Actions have been put in place to address these issues and resolve any behaviours identified.</w:t>
      </w:r>
      <w:r w:rsidRPr="00A6082A">
        <w:rPr>
          <w:rFonts w:eastAsia="Arial" w:cs="Arial"/>
          <w:b/>
          <w:bCs/>
          <w:color w:val="FF0000"/>
        </w:rPr>
        <w:t xml:space="preserve">  </w:t>
      </w:r>
    </w:p>
    <w:p w14:paraId="6D843967" w14:textId="6D14D958" w:rsidR="00930B30" w:rsidRDefault="00930B30" w:rsidP="00153D3E">
      <w:pPr>
        <w:rPr>
          <w:rFonts w:eastAsia="Arial" w:cs="Arial"/>
          <w:color w:val="000000" w:themeColor="text1"/>
        </w:rPr>
      </w:pPr>
      <w:r w:rsidRPr="00A6082A">
        <w:rPr>
          <w:rFonts w:eastAsia="Arial" w:cs="Arial"/>
          <w:color w:val="000000" w:themeColor="text1"/>
        </w:rPr>
        <w:t>Lancashire County Council also maintains 8 residential short break services for people with disabilities, two are currently rated as outstanding and six as good.</w:t>
      </w:r>
    </w:p>
    <w:p w14:paraId="062C6756" w14:textId="77777777" w:rsidR="00D24F1F" w:rsidRDefault="00D24F1F" w:rsidP="00153D3E"/>
    <w:p w14:paraId="049B2393" w14:textId="31898AC4" w:rsidR="00930B30" w:rsidRPr="00C42CB4" w:rsidRDefault="00930B30" w:rsidP="00930B30">
      <w:pPr>
        <w:rPr>
          <w:color w:val="000000" w:themeColor="text1"/>
        </w:rPr>
      </w:pPr>
      <w:r w:rsidRPr="114D10C4">
        <w:rPr>
          <w:b/>
          <w:bCs/>
        </w:rPr>
        <w:t>Quality of community service providers.</w:t>
      </w:r>
      <w:r>
        <w:t xml:space="preserve">  </w:t>
      </w:r>
      <w:r w:rsidRPr="00C42CB4">
        <w:rPr>
          <w:rFonts w:eastAsia="Arial" w:cs="Arial"/>
          <w:color w:val="000000" w:themeColor="text1"/>
        </w:rPr>
        <w:t>Community care providers help people to live independently by offering care and support for people with learning disabilities, acute or chronic conditions, mental health needs or substance misuse problems.  Across Lancashire, 9</w:t>
      </w:r>
      <w:r w:rsidR="001C54E1">
        <w:rPr>
          <w:rFonts w:eastAsia="Arial" w:cs="Arial"/>
          <w:color w:val="000000" w:themeColor="text1"/>
        </w:rPr>
        <w:t>4.7</w:t>
      </w:r>
      <w:r w:rsidRPr="00C42CB4">
        <w:rPr>
          <w:rFonts w:eastAsia="Arial" w:cs="Arial"/>
          <w:color w:val="000000" w:themeColor="text1"/>
        </w:rPr>
        <w:t xml:space="preserve">% of community care providers were rated as good or outstanding by the CQC, which is better than national performance (88%).  LCC maintains 9 community care providers, 8 of which are supported living services and are all rated as good. The 'Shared Lives' service matches adults with learning disabilities, physical disabilities, older people and/or mental health needs with carers and their families, to live within their home, and become part of their family. The people living in Shared Lives continue to see their own family and friends as much as they want.  This service is the largest in the country and is rated outstanding by CQC. </w:t>
      </w:r>
    </w:p>
    <w:p w14:paraId="4EB07B52" w14:textId="0F173800" w:rsidR="00930B30" w:rsidRDefault="00930B30" w:rsidP="00930B30">
      <w:pPr>
        <w:rPr>
          <w:rFonts w:eastAsia="Arial" w:cs="Arial"/>
        </w:rPr>
      </w:pPr>
      <w:r w:rsidRPr="00C42CB4">
        <w:rPr>
          <w:rFonts w:eastAsia="Arial" w:cs="Arial"/>
        </w:rPr>
        <w:t xml:space="preserve">Inspections of community providers </w:t>
      </w:r>
      <w:r w:rsidR="00804942">
        <w:rPr>
          <w:rFonts w:eastAsia="Arial" w:cs="Arial"/>
        </w:rPr>
        <w:t>have</w:t>
      </w:r>
      <w:r w:rsidRPr="00C42CB4">
        <w:rPr>
          <w:rFonts w:eastAsia="Arial" w:cs="Arial"/>
        </w:rPr>
        <w:t xml:space="preserve"> also started to increase following the pandemic, with 6 inspections being published throughout Lancashire in the third quarter of 2021/22 (compared to 4 in the same period in 2020/21) One L</w:t>
      </w:r>
      <w:r w:rsidR="00C63050">
        <w:rPr>
          <w:rFonts w:eastAsia="Arial" w:cs="Arial"/>
        </w:rPr>
        <w:t xml:space="preserve">ancashire </w:t>
      </w:r>
      <w:r w:rsidRPr="00C42CB4">
        <w:rPr>
          <w:rFonts w:eastAsia="Arial" w:cs="Arial"/>
        </w:rPr>
        <w:t>C</w:t>
      </w:r>
      <w:r w:rsidR="00C63050">
        <w:rPr>
          <w:rFonts w:eastAsia="Arial" w:cs="Arial"/>
        </w:rPr>
        <w:t xml:space="preserve">ounty </w:t>
      </w:r>
      <w:r w:rsidRPr="00C42CB4">
        <w:rPr>
          <w:rFonts w:eastAsia="Arial" w:cs="Arial"/>
        </w:rPr>
        <w:t>C</w:t>
      </w:r>
      <w:r w:rsidR="00C63050">
        <w:rPr>
          <w:rFonts w:eastAsia="Arial" w:cs="Arial"/>
        </w:rPr>
        <w:t>ouncil</w:t>
      </w:r>
      <w:r w:rsidRPr="00C42CB4">
        <w:rPr>
          <w:rFonts w:eastAsia="Arial" w:cs="Arial"/>
        </w:rPr>
        <w:t xml:space="preserve"> maintained community provider was inspected in this period, which was West Lancashire Domiciliary Service, who maintained its rating of good.</w:t>
      </w:r>
    </w:p>
    <w:p w14:paraId="182E89FE" w14:textId="77777777" w:rsidR="00C63050" w:rsidRDefault="00C63050" w:rsidP="00930B30">
      <w:pPr>
        <w:rPr>
          <w:rFonts w:eastAsia="Arial" w:cs="Arial"/>
        </w:rPr>
      </w:pPr>
    </w:p>
    <w:p w14:paraId="17431C82" w14:textId="77777777" w:rsidR="00C63050" w:rsidRPr="00C42CB4" w:rsidRDefault="00C63050" w:rsidP="00930B30">
      <w:pPr>
        <w:rPr>
          <w:color w:val="000000" w:themeColor="text1"/>
        </w:rPr>
      </w:pPr>
    </w:p>
    <w:p w14:paraId="6377C61D" w14:textId="77777777" w:rsidR="00930B30" w:rsidRDefault="00930B30" w:rsidP="00930B30">
      <w:pPr>
        <w:rPr>
          <w:color w:val="000000" w:themeColor="text1"/>
        </w:rPr>
      </w:pPr>
    </w:p>
    <w:tbl>
      <w:tblPr>
        <w:tblW w:w="13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340"/>
        <w:gridCol w:w="1436"/>
        <w:gridCol w:w="982"/>
        <w:gridCol w:w="1339"/>
        <w:gridCol w:w="1447"/>
        <w:gridCol w:w="1679"/>
        <w:gridCol w:w="1224"/>
        <w:gridCol w:w="1224"/>
        <w:gridCol w:w="1229"/>
      </w:tblGrid>
      <w:tr w:rsidR="00930B30" w14:paraId="0A7FA681" w14:textId="77777777" w:rsidTr="001D2D9F">
        <w:trPr>
          <w:trHeight w:val="433"/>
        </w:trPr>
        <w:tc>
          <w:tcPr>
            <w:tcW w:w="2063" w:type="dxa"/>
            <w:tcBorders>
              <w:top w:val="single" w:sz="4" w:space="0" w:color="auto"/>
              <w:left w:val="single" w:sz="4" w:space="0" w:color="auto"/>
              <w:bottom w:val="single" w:sz="4" w:space="0" w:color="auto"/>
              <w:right w:val="single" w:sz="4" w:space="0" w:color="auto"/>
            </w:tcBorders>
          </w:tcPr>
          <w:p w14:paraId="04F831C3" w14:textId="77777777" w:rsidR="00930B30" w:rsidRDefault="00930B30" w:rsidP="00AF6B01">
            <w:pPr>
              <w:pStyle w:val="NoSpacing"/>
              <w:jc w:val="center"/>
              <w:rPr>
                <w:rFonts w:ascii="Arial" w:hAnsi="Arial" w:cs="Arial"/>
                <w:b/>
                <w:bCs/>
              </w:rPr>
            </w:pPr>
            <w:r w:rsidRPr="0CF1EE9E">
              <w:rPr>
                <w:rFonts w:ascii="Arial" w:hAnsi="Arial" w:cs="Arial"/>
                <w:b/>
                <w:bCs/>
                <w:sz w:val="20"/>
                <w:szCs w:val="20"/>
              </w:rPr>
              <w:lastRenderedPageBreak/>
              <w:t>Performance Indicator</w:t>
            </w:r>
          </w:p>
        </w:tc>
        <w:tc>
          <w:tcPr>
            <w:tcW w:w="1340" w:type="dxa"/>
            <w:tcBorders>
              <w:top w:val="single" w:sz="4" w:space="0" w:color="auto"/>
              <w:left w:val="single" w:sz="4" w:space="0" w:color="auto"/>
              <w:bottom w:val="single" w:sz="4" w:space="0" w:color="auto"/>
              <w:right w:val="single" w:sz="4" w:space="0" w:color="auto"/>
            </w:tcBorders>
          </w:tcPr>
          <w:p w14:paraId="4099B68B" w14:textId="77777777" w:rsidR="00930B30" w:rsidRDefault="00930B30" w:rsidP="00AF6B01">
            <w:pPr>
              <w:pStyle w:val="NoSpacing"/>
              <w:rPr>
                <w:rFonts w:ascii="Arial" w:hAnsi="Arial" w:cs="Arial"/>
                <w:b/>
                <w:bCs/>
              </w:rPr>
            </w:pPr>
            <w:r w:rsidRPr="0CF1EE9E">
              <w:rPr>
                <w:rFonts w:ascii="Arial" w:hAnsi="Arial" w:cs="Arial"/>
                <w:b/>
                <w:bCs/>
                <w:sz w:val="20"/>
                <w:szCs w:val="20"/>
              </w:rPr>
              <w:t>Frequency</w:t>
            </w:r>
          </w:p>
        </w:tc>
        <w:tc>
          <w:tcPr>
            <w:tcW w:w="1436" w:type="dxa"/>
            <w:tcBorders>
              <w:top w:val="single" w:sz="4" w:space="0" w:color="auto"/>
              <w:left w:val="single" w:sz="4" w:space="0" w:color="auto"/>
              <w:bottom w:val="single" w:sz="4" w:space="0" w:color="auto"/>
              <w:right w:val="single" w:sz="4" w:space="0" w:color="auto"/>
            </w:tcBorders>
          </w:tcPr>
          <w:p w14:paraId="63FCCEE1" w14:textId="77777777" w:rsidR="00930B30" w:rsidRDefault="00930B30" w:rsidP="00AF6B01">
            <w:pPr>
              <w:pStyle w:val="NoSpacing"/>
              <w:rPr>
                <w:rFonts w:ascii="Arial" w:hAnsi="Arial" w:cs="Arial"/>
                <w:b/>
                <w:bCs/>
              </w:rPr>
            </w:pPr>
            <w:r w:rsidRPr="0CF1EE9E">
              <w:rPr>
                <w:rFonts w:ascii="Arial" w:hAnsi="Arial" w:cs="Arial"/>
                <w:b/>
                <w:bCs/>
                <w:sz w:val="20"/>
                <w:szCs w:val="20"/>
              </w:rPr>
              <w:t xml:space="preserve">Directorate </w:t>
            </w:r>
          </w:p>
        </w:tc>
        <w:tc>
          <w:tcPr>
            <w:tcW w:w="982" w:type="dxa"/>
            <w:tcBorders>
              <w:top w:val="single" w:sz="4" w:space="0" w:color="auto"/>
              <w:left w:val="single" w:sz="4" w:space="0" w:color="auto"/>
              <w:bottom w:val="single" w:sz="4" w:space="0" w:color="auto"/>
              <w:right w:val="single" w:sz="4" w:space="0" w:color="auto"/>
            </w:tcBorders>
          </w:tcPr>
          <w:p w14:paraId="74998C84" w14:textId="77777777" w:rsidR="00930B30" w:rsidRDefault="00930B30" w:rsidP="00AF6B01">
            <w:pPr>
              <w:pStyle w:val="NoSpacing"/>
              <w:rPr>
                <w:rFonts w:ascii="Arial" w:hAnsi="Arial" w:cs="Arial"/>
                <w:b/>
                <w:bCs/>
              </w:rPr>
            </w:pPr>
            <w:r w:rsidRPr="0CF1EE9E">
              <w:rPr>
                <w:rFonts w:ascii="Arial" w:hAnsi="Arial" w:cs="Arial"/>
                <w:b/>
                <w:bCs/>
                <w:sz w:val="20"/>
                <w:szCs w:val="20"/>
              </w:rPr>
              <w:t>Good is</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1B08AAE" w14:textId="77777777" w:rsidR="00930B30" w:rsidRDefault="00930B30" w:rsidP="00AF6B01">
            <w:pPr>
              <w:pStyle w:val="NoSpacing"/>
              <w:rPr>
                <w:rFonts w:ascii="Arial" w:hAnsi="Arial" w:cs="Arial"/>
                <w:b/>
                <w:bCs/>
              </w:rPr>
            </w:pPr>
            <w:r w:rsidRPr="0CF1EE9E">
              <w:rPr>
                <w:rFonts w:ascii="Arial" w:hAnsi="Arial" w:cs="Arial"/>
                <w:b/>
                <w:bCs/>
                <w:sz w:val="20"/>
                <w:szCs w:val="20"/>
              </w:rPr>
              <w:t>2019/20 Outturn</w:t>
            </w:r>
          </w:p>
        </w:tc>
        <w:tc>
          <w:tcPr>
            <w:tcW w:w="1447" w:type="dxa"/>
            <w:tcBorders>
              <w:top w:val="single" w:sz="4" w:space="0" w:color="auto"/>
              <w:left w:val="single" w:sz="4" w:space="0" w:color="auto"/>
              <w:bottom w:val="single" w:sz="4" w:space="0" w:color="auto"/>
              <w:right w:val="single" w:sz="4" w:space="0" w:color="auto"/>
            </w:tcBorders>
          </w:tcPr>
          <w:p w14:paraId="2CC51040" w14:textId="77777777" w:rsidR="00930B30" w:rsidRDefault="00930B30" w:rsidP="00AF6B01">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1F0D3554" w14:textId="77777777" w:rsidR="00930B30" w:rsidRDefault="00930B30" w:rsidP="00AF6B01">
            <w:pPr>
              <w:pStyle w:val="NoSpacing"/>
              <w:jc w:val="center"/>
              <w:rPr>
                <w:rFonts w:ascii="Arial" w:hAnsi="Arial" w:cs="Arial"/>
                <w:b/>
                <w:bCs/>
                <w:sz w:val="20"/>
                <w:szCs w:val="20"/>
              </w:rPr>
            </w:pPr>
            <w:r w:rsidRPr="78C3123E">
              <w:rPr>
                <w:rFonts w:ascii="Arial" w:hAnsi="Arial" w:cs="Arial"/>
                <w:b/>
                <w:bCs/>
                <w:sz w:val="20"/>
                <w:szCs w:val="20"/>
              </w:rPr>
              <w:t xml:space="preserve">2021/22   </w:t>
            </w:r>
          </w:p>
          <w:p w14:paraId="58C39555" w14:textId="77777777" w:rsidR="00930B30" w:rsidRDefault="00930B30" w:rsidP="00AF6B01">
            <w:pPr>
              <w:pStyle w:val="NoSpacing"/>
              <w:jc w:val="center"/>
              <w:rPr>
                <w:rFonts w:ascii="Arial" w:hAnsi="Arial" w:cs="Arial"/>
                <w:b/>
                <w:bCs/>
                <w:sz w:val="20"/>
                <w:szCs w:val="20"/>
              </w:rPr>
            </w:pPr>
            <w:r w:rsidRPr="78C3123E">
              <w:rPr>
                <w:rFonts w:ascii="Arial" w:hAnsi="Arial" w:cs="Arial"/>
                <w:b/>
                <w:bCs/>
                <w:sz w:val="20"/>
                <w:szCs w:val="20"/>
              </w:rPr>
              <w:t xml:space="preserve">Quarter 1 </w:t>
            </w:r>
          </w:p>
          <w:p w14:paraId="6244B219" w14:textId="77777777" w:rsidR="00930B30" w:rsidRDefault="00930B30" w:rsidP="00AF6B01">
            <w:pPr>
              <w:pStyle w:val="NoSpacing"/>
              <w:jc w:val="center"/>
              <w:rPr>
                <w:rFonts w:ascii="Arial" w:hAnsi="Arial" w:cs="Arial"/>
                <w:b/>
                <w:bCs/>
                <w:sz w:val="20"/>
                <w:szCs w:val="20"/>
              </w:rPr>
            </w:pPr>
            <w:r w:rsidRPr="78C3123E">
              <w:rPr>
                <w:rFonts w:ascii="Arial" w:hAnsi="Arial" w:cs="Arial"/>
                <w:b/>
                <w:bCs/>
                <w:sz w:val="20"/>
                <w:szCs w:val="20"/>
              </w:rPr>
              <w:t xml:space="preserve"> </w:t>
            </w:r>
            <w:r w:rsidRPr="78C3123E">
              <w:rPr>
                <w:rFonts w:ascii="Arial" w:hAnsi="Arial" w:cs="Arial"/>
                <w:b/>
                <w:bCs/>
                <w:sz w:val="18"/>
                <w:szCs w:val="18"/>
              </w:rPr>
              <w:t>(April- June)</w:t>
            </w:r>
          </w:p>
          <w:p w14:paraId="00714938" w14:textId="77777777" w:rsidR="00930B30" w:rsidRDefault="00930B30" w:rsidP="00AF6B01">
            <w:pPr>
              <w:pStyle w:val="NoSpacing"/>
              <w:jc w:val="center"/>
              <w:rPr>
                <w:b/>
                <w:bCs/>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5129E8C"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2021/22</w:t>
            </w:r>
          </w:p>
          <w:p w14:paraId="065912FE"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Quarter 2</w:t>
            </w:r>
          </w:p>
          <w:p w14:paraId="223A46BF" w14:textId="77777777" w:rsidR="00930B30" w:rsidRPr="62385CB5" w:rsidRDefault="00930B30" w:rsidP="00AF6B01">
            <w:pPr>
              <w:pStyle w:val="NoSpacing"/>
              <w:jc w:val="center"/>
              <w:rPr>
                <w:rFonts w:ascii="Arial" w:hAnsi="Arial" w:cs="Arial"/>
                <w:b/>
                <w:bCs/>
                <w:sz w:val="20"/>
                <w:szCs w:val="20"/>
              </w:rPr>
            </w:pPr>
            <w:r w:rsidRPr="00254A8C">
              <w:rPr>
                <w:rFonts w:ascii="Arial" w:hAnsi="Arial" w:cs="Arial"/>
                <w:b/>
                <w:bCs/>
                <w:sz w:val="18"/>
                <w:szCs w:val="18"/>
              </w:rPr>
              <w:t>(July – Sep)</w:t>
            </w:r>
          </w:p>
        </w:tc>
        <w:tc>
          <w:tcPr>
            <w:tcW w:w="1224" w:type="dxa"/>
            <w:tcBorders>
              <w:top w:val="single" w:sz="4" w:space="0" w:color="auto"/>
              <w:left w:val="single" w:sz="4" w:space="0" w:color="auto"/>
              <w:bottom w:val="single" w:sz="4" w:space="0" w:color="auto"/>
              <w:right w:val="single" w:sz="4" w:space="0" w:color="auto"/>
            </w:tcBorders>
          </w:tcPr>
          <w:p w14:paraId="30B8CC84"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2021/22</w:t>
            </w:r>
          </w:p>
          <w:p w14:paraId="3C8AABD9"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Quarter 3</w:t>
            </w:r>
          </w:p>
          <w:p w14:paraId="2EEF7565"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18"/>
                <w:szCs w:val="18"/>
              </w:rPr>
              <w:t>(Oct– Dec)</w:t>
            </w:r>
          </w:p>
          <w:p w14:paraId="33775F7C" w14:textId="77777777" w:rsidR="00930B30" w:rsidRDefault="00930B30" w:rsidP="00AF6B01">
            <w:pPr>
              <w:pStyle w:val="NoSpacing"/>
              <w:jc w:val="center"/>
              <w:rPr>
                <w:b/>
                <w:bCs/>
                <w:sz w:val="20"/>
                <w:szCs w:val="20"/>
              </w:rPr>
            </w:pPr>
          </w:p>
        </w:tc>
        <w:tc>
          <w:tcPr>
            <w:tcW w:w="1229" w:type="dxa"/>
            <w:tcBorders>
              <w:top w:val="single" w:sz="4" w:space="0" w:color="auto"/>
              <w:left w:val="single" w:sz="4" w:space="0" w:color="auto"/>
              <w:bottom w:val="single" w:sz="4" w:space="0" w:color="auto"/>
              <w:right w:val="single" w:sz="4" w:space="0" w:color="auto"/>
            </w:tcBorders>
          </w:tcPr>
          <w:p w14:paraId="0596EFF1" w14:textId="77777777" w:rsidR="00930B30" w:rsidRDefault="00930B30" w:rsidP="00AF6B01">
            <w:pPr>
              <w:pStyle w:val="NoSpacing"/>
              <w:jc w:val="center"/>
              <w:rPr>
                <w:rFonts w:ascii="Arial" w:hAnsi="Arial" w:cs="Arial"/>
                <w:b/>
                <w:bCs/>
              </w:rPr>
            </w:pPr>
            <w:r w:rsidRPr="62385CB5">
              <w:rPr>
                <w:rFonts w:ascii="Arial" w:hAnsi="Arial" w:cs="Arial"/>
                <w:b/>
                <w:bCs/>
                <w:sz w:val="20"/>
                <w:szCs w:val="20"/>
              </w:rPr>
              <w:t>2021/22 Target</w:t>
            </w:r>
          </w:p>
        </w:tc>
      </w:tr>
      <w:tr w:rsidR="00C342D4" w14:paraId="26F44535" w14:textId="77777777" w:rsidTr="001D2D9F">
        <w:trPr>
          <w:trHeight w:val="993"/>
        </w:trPr>
        <w:tc>
          <w:tcPr>
            <w:tcW w:w="2063" w:type="dxa"/>
            <w:tcBorders>
              <w:top w:val="single" w:sz="4" w:space="0" w:color="auto"/>
              <w:left w:val="single" w:sz="4" w:space="0" w:color="auto"/>
              <w:bottom w:val="single" w:sz="4" w:space="0" w:color="auto"/>
              <w:right w:val="single" w:sz="4" w:space="0" w:color="auto"/>
            </w:tcBorders>
          </w:tcPr>
          <w:p w14:paraId="5E234DF2" w14:textId="77777777" w:rsidR="00930B30" w:rsidRPr="0060756D" w:rsidRDefault="00930B30" w:rsidP="00AF6B01">
            <w:pPr>
              <w:pStyle w:val="NoSpacing"/>
              <w:rPr>
                <w:rFonts w:ascii="Arial" w:hAnsi="Arial" w:cs="Arial"/>
              </w:rPr>
            </w:pPr>
            <w:r w:rsidRPr="0CF1EE9E">
              <w:rPr>
                <w:rFonts w:ascii="Arial" w:hAnsi="Arial" w:cs="Arial"/>
              </w:rPr>
              <w:t>Percentage of adults with learning disabilities in employment</w:t>
            </w:r>
          </w:p>
        </w:tc>
        <w:tc>
          <w:tcPr>
            <w:tcW w:w="1340" w:type="dxa"/>
            <w:tcBorders>
              <w:top w:val="single" w:sz="4" w:space="0" w:color="auto"/>
              <w:left w:val="single" w:sz="4" w:space="0" w:color="auto"/>
              <w:bottom w:val="single" w:sz="4" w:space="0" w:color="auto"/>
              <w:right w:val="single" w:sz="4" w:space="0" w:color="auto"/>
            </w:tcBorders>
          </w:tcPr>
          <w:p w14:paraId="0B7227C4" w14:textId="77777777" w:rsidR="00930B30" w:rsidRPr="0060756D" w:rsidRDefault="00930B30" w:rsidP="00AF6B01">
            <w:pPr>
              <w:pStyle w:val="NoSpacing"/>
              <w:rPr>
                <w:rFonts w:ascii="Arial" w:hAnsi="Arial" w:cs="Arial"/>
              </w:rPr>
            </w:pPr>
            <w:r w:rsidRPr="0060756D">
              <w:rPr>
                <w:rFonts w:ascii="Arial" w:hAnsi="Arial" w:cs="Arial"/>
              </w:rPr>
              <w:t>Quarterly</w:t>
            </w:r>
          </w:p>
        </w:tc>
        <w:tc>
          <w:tcPr>
            <w:tcW w:w="1436" w:type="dxa"/>
            <w:tcBorders>
              <w:top w:val="single" w:sz="4" w:space="0" w:color="auto"/>
              <w:left w:val="single" w:sz="4" w:space="0" w:color="auto"/>
              <w:bottom w:val="single" w:sz="4" w:space="0" w:color="auto"/>
              <w:right w:val="single" w:sz="4" w:space="0" w:color="auto"/>
            </w:tcBorders>
          </w:tcPr>
          <w:p w14:paraId="356C3E6E" w14:textId="77777777" w:rsidR="00930B30" w:rsidRPr="0060756D" w:rsidRDefault="00930B30" w:rsidP="00AF6B01">
            <w:pPr>
              <w:pStyle w:val="NoSpacing"/>
              <w:rPr>
                <w:rFonts w:ascii="Arial" w:hAnsi="Arial" w:cs="Arial"/>
              </w:rPr>
            </w:pPr>
            <w:r w:rsidRPr="0060756D">
              <w:rPr>
                <w:rFonts w:ascii="Arial" w:hAnsi="Arial" w:cs="Arial"/>
              </w:rPr>
              <w:t>Adults Services and Health and Wellbeing</w:t>
            </w:r>
          </w:p>
        </w:tc>
        <w:tc>
          <w:tcPr>
            <w:tcW w:w="982" w:type="dxa"/>
            <w:tcBorders>
              <w:top w:val="single" w:sz="4" w:space="0" w:color="auto"/>
              <w:left w:val="single" w:sz="4" w:space="0" w:color="auto"/>
              <w:bottom w:val="single" w:sz="4" w:space="0" w:color="auto"/>
              <w:right w:val="single" w:sz="4" w:space="0" w:color="auto"/>
            </w:tcBorders>
          </w:tcPr>
          <w:p w14:paraId="14A3CC98" w14:textId="77777777" w:rsidR="00930B30" w:rsidRPr="0060756D" w:rsidRDefault="00930B30" w:rsidP="00AF6B01">
            <w:pPr>
              <w:pStyle w:val="NoSpacing"/>
              <w:rPr>
                <w:rFonts w:ascii="Arial" w:hAnsi="Arial" w:cs="Arial"/>
              </w:rPr>
            </w:pPr>
            <w:r w:rsidRPr="0060756D">
              <w:rPr>
                <w:rFonts w:ascii="Arial" w:hAnsi="Arial" w:cs="Arial"/>
              </w:rPr>
              <w:t>High</w:t>
            </w:r>
          </w:p>
        </w:tc>
        <w:tc>
          <w:tcPr>
            <w:tcW w:w="1339" w:type="dxa"/>
            <w:tcBorders>
              <w:top w:val="single" w:sz="4" w:space="0" w:color="auto"/>
              <w:left w:val="single" w:sz="4" w:space="0" w:color="auto"/>
              <w:bottom w:val="single" w:sz="4" w:space="0" w:color="auto"/>
              <w:right w:val="single" w:sz="4" w:space="0" w:color="auto"/>
            </w:tcBorders>
            <w:shd w:val="clear" w:color="auto" w:fill="FF0000"/>
          </w:tcPr>
          <w:p w14:paraId="6AEC9365" w14:textId="77777777" w:rsidR="00930B30" w:rsidRPr="0060756D" w:rsidRDefault="00930B30" w:rsidP="00AF6B01">
            <w:pPr>
              <w:pStyle w:val="NoSpacing"/>
              <w:jc w:val="center"/>
              <w:rPr>
                <w:rFonts w:ascii="Arial" w:hAnsi="Arial" w:cs="Arial"/>
                <w:color w:val="FFFFFF" w:themeColor="background1"/>
              </w:rPr>
            </w:pPr>
            <w:r w:rsidRPr="78C3123E">
              <w:rPr>
                <w:rFonts w:ascii="Arial" w:hAnsi="Arial" w:cs="Arial"/>
                <w:color w:val="FFFFFF" w:themeColor="background1"/>
              </w:rPr>
              <w:t>2.02%</w:t>
            </w:r>
          </w:p>
        </w:tc>
        <w:tc>
          <w:tcPr>
            <w:tcW w:w="1447" w:type="dxa"/>
            <w:tcBorders>
              <w:top w:val="single" w:sz="4" w:space="0" w:color="auto"/>
              <w:left w:val="single" w:sz="4" w:space="0" w:color="auto"/>
              <w:bottom w:val="single" w:sz="4" w:space="0" w:color="auto"/>
              <w:right w:val="single" w:sz="4" w:space="0" w:color="auto"/>
            </w:tcBorders>
            <w:shd w:val="clear" w:color="auto" w:fill="FF0000"/>
          </w:tcPr>
          <w:p w14:paraId="10DF8208" w14:textId="77777777" w:rsidR="00930B30" w:rsidRPr="0060756D" w:rsidRDefault="00930B30" w:rsidP="00AF6B01">
            <w:pPr>
              <w:pStyle w:val="NoSpacing"/>
              <w:jc w:val="center"/>
              <w:rPr>
                <w:rFonts w:ascii="Arial" w:hAnsi="Arial" w:cs="Arial"/>
                <w:color w:val="FFFFFF" w:themeColor="background1"/>
              </w:rPr>
            </w:pPr>
            <w:r w:rsidRPr="78C3123E">
              <w:rPr>
                <w:rFonts w:ascii="Arial" w:hAnsi="Arial" w:cs="Arial"/>
                <w:color w:val="FFFFFF" w:themeColor="background1"/>
              </w:rPr>
              <w:t>2.3%</w:t>
            </w:r>
          </w:p>
        </w:tc>
        <w:tc>
          <w:tcPr>
            <w:tcW w:w="1679" w:type="dxa"/>
            <w:tcBorders>
              <w:top w:val="single" w:sz="4" w:space="0" w:color="auto"/>
              <w:left w:val="single" w:sz="4" w:space="0" w:color="auto"/>
              <w:bottom w:val="single" w:sz="4" w:space="0" w:color="auto"/>
              <w:right w:val="single" w:sz="4" w:space="0" w:color="auto"/>
            </w:tcBorders>
            <w:shd w:val="clear" w:color="auto" w:fill="FF0000"/>
          </w:tcPr>
          <w:p w14:paraId="698C1597" w14:textId="77777777" w:rsidR="00930B30" w:rsidRPr="008E7297" w:rsidRDefault="00930B30" w:rsidP="00AF6B01">
            <w:pPr>
              <w:pStyle w:val="NoSpacing"/>
              <w:jc w:val="center"/>
              <w:rPr>
                <w:rFonts w:ascii="Arial" w:hAnsi="Arial" w:cs="Arial"/>
                <w:color w:val="FFFFFF" w:themeColor="background1"/>
              </w:rPr>
            </w:pPr>
            <w:r w:rsidRPr="008E7297">
              <w:rPr>
                <w:rFonts w:ascii="Arial" w:hAnsi="Arial" w:cs="Arial"/>
                <w:color w:val="FFFFFF" w:themeColor="background1"/>
              </w:rPr>
              <w:t>1.9%</w:t>
            </w:r>
          </w:p>
        </w:tc>
        <w:tc>
          <w:tcPr>
            <w:tcW w:w="1224" w:type="dxa"/>
            <w:tcBorders>
              <w:top w:val="single" w:sz="4" w:space="0" w:color="auto"/>
              <w:left w:val="single" w:sz="4" w:space="0" w:color="auto"/>
              <w:bottom w:val="single" w:sz="4" w:space="0" w:color="auto"/>
              <w:right w:val="single" w:sz="4" w:space="0" w:color="auto"/>
            </w:tcBorders>
            <w:shd w:val="clear" w:color="auto" w:fill="FF0000"/>
          </w:tcPr>
          <w:p w14:paraId="3E2533E6" w14:textId="77777777" w:rsidR="00930B30" w:rsidRPr="008E7297" w:rsidRDefault="00930B30" w:rsidP="00AF6B01">
            <w:pPr>
              <w:pStyle w:val="NoSpacing"/>
              <w:jc w:val="center"/>
              <w:rPr>
                <w:rFonts w:ascii="Arial" w:hAnsi="Arial" w:cs="Arial"/>
                <w:color w:val="FFFFFF" w:themeColor="background1"/>
              </w:rPr>
            </w:pPr>
            <w:r w:rsidRPr="008E7297">
              <w:rPr>
                <w:rFonts w:ascii="Arial" w:hAnsi="Arial" w:cs="Arial"/>
                <w:color w:val="FFFFFF" w:themeColor="background1"/>
              </w:rPr>
              <w:t>2.1%</w:t>
            </w:r>
          </w:p>
        </w:tc>
        <w:tc>
          <w:tcPr>
            <w:tcW w:w="1224" w:type="dxa"/>
            <w:tcBorders>
              <w:top w:val="single" w:sz="4" w:space="0" w:color="auto"/>
              <w:left w:val="single" w:sz="4" w:space="0" w:color="auto"/>
              <w:bottom w:val="single" w:sz="4" w:space="0" w:color="auto"/>
              <w:right w:val="single" w:sz="4" w:space="0" w:color="auto"/>
            </w:tcBorders>
            <w:shd w:val="clear" w:color="auto" w:fill="FF0000"/>
          </w:tcPr>
          <w:p w14:paraId="3444C391" w14:textId="77777777" w:rsidR="00930B30" w:rsidRDefault="00930B30" w:rsidP="00AF6B01">
            <w:pPr>
              <w:pStyle w:val="NoSpacing"/>
              <w:jc w:val="center"/>
              <w:rPr>
                <w:rFonts w:ascii="Arial" w:hAnsi="Arial" w:cs="Arial"/>
                <w:color w:val="FFFFFF" w:themeColor="background1"/>
              </w:rPr>
            </w:pPr>
            <w:r w:rsidRPr="114D10C4">
              <w:rPr>
                <w:rFonts w:ascii="Arial" w:hAnsi="Arial" w:cs="Arial"/>
                <w:color w:val="FFFFFF" w:themeColor="background1"/>
              </w:rPr>
              <w:t>1.9%</w:t>
            </w:r>
          </w:p>
          <w:p w14:paraId="4D0F5051" w14:textId="77777777" w:rsidR="00930B30" w:rsidRDefault="00930B30" w:rsidP="00AF6B01">
            <w:pPr>
              <w:pStyle w:val="NoSpacing"/>
              <w:jc w:val="center"/>
              <w:rPr>
                <w:color w:val="FFFFFF" w:themeColor="background1"/>
              </w:rPr>
            </w:pP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F890792" w14:textId="77777777" w:rsidR="00930B30" w:rsidRPr="0060756D" w:rsidRDefault="00930B30" w:rsidP="00AF6B01">
            <w:pPr>
              <w:pStyle w:val="NoSpacing"/>
              <w:jc w:val="center"/>
              <w:rPr>
                <w:rFonts w:ascii="Arial" w:hAnsi="Arial" w:cs="Arial"/>
              </w:rPr>
            </w:pPr>
            <w:r w:rsidRPr="78C3123E">
              <w:rPr>
                <w:rFonts w:ascii="Arial" w:hAnsi="Arial" w:cs="Arial"/>
              </w:rPr>
              <w:t>3.1%</w:t>
            </w:r>
          </w:p>
        </w:tc>
      </w:tr>
    </w:tbl>
    <w:p w14:paraId="040FBB94" w14:textId="13687CDF" w:rsidR="00930B30" w:rsidRDefault="00930B30" w:rsidP="00930B30">
      <w:pPr>
        <w:pStyle w:val="NoSpacing"/>
        <w:rPr>
          <w:rFonts w:ascii="Arial" w:hAnsi="Arial" w:cs="Arial"/>
          <w:b/>
        </w:rPr>
      </w:pPr>
    </w:p>
    <w:p w14:paraId="4C719858" w14:textId="3CEE367E" w:rsidR="000220E8" w:rsidRDefault="000220E8" w:rsidP="00930B30">
      <w:pPr>
        <w:pStyle w:val="NoSpacing"/>
        <w:rPr>
          <w:rFonts w:ascii="Arial" w:hAnsi="Arial" w:cs="Arial"/>
          <w:b/>
        </w:rPr>
      </w:pPr>
    </w:p>
    <w:p w14:paraId="6A9BCE84" w14:textId="14CBF6A7" w:rsidR="00930B30" w:rsidRPr="00954F30" w:rsidRDefault="00930B30" w:rsidP="00930B30">
      <w:r w:rsidRPr="114D10C4">
        <w:rPr>
          <w:b/>
          <w:bCs/>
        </w:rPr>
        <w:t>Adults with learning disabilities in employment</w:t>
      </w:r>
      <w:r>
        <w:t xml:space="preserve">. </w:t>
      </w:r>
      <w:r w:rsidRPr="00954F30">
        <w:rPr>
          <w:rFonts w:eastAsia="Arial" w:cs="Arial"/>
        </w:rPr>
        <w:t xml:space="preserve">The </w:t>
      </w:r>
      <w:r w:rsidR="00E72B63">
        <w:rPr>
          <w:rFonts w:eastAsia="Arial" w:cs="Arial"/>
        </w:rPr>
        <w:t>proportion</w:t>
      </w:r>
      <w:r w:rsidRPr="00954F30">
        <w:rPr>
          <w:rFonts w:eastAsia="Arial" w:cs="Arial"/>
        </w:rPr>
        <w:t xml:space="preserve"> of </w:t>
      </w:r>
      <w:r w:rsidR="00E72B63">
        <w:rPr>
          <w:rFonts w:eastAsia="Arial" w:cs="Arial"/>
        </w:rPr>
        <w:t>a</w:t>
      </w:r>
      <w:r w:rsidRPr="00954F30">
        <w:rPr>
          <w:rFonts w:eastAsia="Arial" w:cs="Arial"/>
        </w:rPr>
        <w:t>dults with learning disabilities</w:t>
      </w:r>
      <w:r w:rsidR="00E72B63">
        <w:rPr>
          <w:rFonts w:eastAsia="Arial" w:cs="Arial"/>
        </w:rPr>
        <w:t xml:space="preserve"> in employment</w:t>
      </w:r>
      <w:r w:rsidRPr="00954F30">
        <w:rPr>
          <w:rFonts w:eastAsia="Arial" w:cs="Arial"/>
        </w:rPr>
        <w:t xml:space="preserve"> continues to be low and under target</w:t>
      </w:r>
      <w:r w:rsidR="001F4C01">
        <w:rPr>
          <w:rFonts w:eastAsia="Arial" w:cs="Arial"/>
        </w:rPr>
        <w:t>. The national</w:t>
      </w:r>
      <w:r w:rsidRPr="00954F30">
        <w:rPr>
          <w:rFonts w:eastAsia="Arial" w:cs="Arial"/>
        </w:rPr>
        <w:t xml:space="preserve"> benchmark </w:t>
      </w:r>
      <w:r w:rsidR="001F4C01">
        <w:rPr>
          <w:rFonts w:eastAsia="Arial" w:cs="Arial"/>
        </w:rPr>
        <w:t>is</w:t>
      </w:r>
      <w:r w:rsidRPr="00954F30">
        <w:rPr>
          <w:rFonts w:eastAsia="Arial" w:cs="Arial"/>
        </w:rPr>
        <w:t xml:space="preserve"> 5.6%. The pandemic reduced some employment prospects impeding the opportunity for people with learning disabilities to be introduced to a working environment.  </w:t>
      </w:r>
    </w:p>
    <w:p w14:paraId="02CB8252" w14:textId="5807852E" w:rsidR="00153D3E" w:rsidRDefault="00930B30" w:rsidP="002A7D0C">
      <w:r w:rsidRPr="00954F30">
        <w:rPr>
          <w:rFonts w:eastAsia="Arial" w:cs="Arial"/>
          <w:color w:val="000000" w:themeColor="text1"/>
        </w:rPr>
        <w:t xml:space="preserve">The response to the pandemic reorganised priorities internally and resulted in some of the staff within the adult disability employment support service being re-deployed into other business critical roles. This resulted in the reduction of some of the support and monitoring.  Work has now started to resume in this area to review how more adults can be supported into employment in the 2021/22 year, by both the role of the specialist support team and also providers of care and support </w:t>
      </w:r>
      <w:r w:rsidRPr="00954F30">
        <w:t xml:space="preserve">services. </w:t>
      </w:r>
    </w:p>
    <w:p w14:paraId="6ADD3D54" w14:textId="77777777" w:rsidR="00F85482" w:rsidRDefault="00F85482" w:rsidP="002A7D0C"/>
    <w:tbl>
      <w:tblPr>
        <w:tblW w:w="13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0"/>
        <w:gridCol w:w="1466"/>
        <w:gridCol w:w="1438"/>
        <w:gridCol w:w="802"/>
        <w:gridCol w:w="1037"/>
        <w:gridCol w:w="1441"/>
        <w:gridCol w:w="1446"/>
        <w:gridCol w:w="1159"/>
        <w:gridCol w:w="1159"/>
        <w:gridCol w:w="1307"/>
      </w:tblGrid>
      <w:tr w:rsidR="00930B30" w14:paraId="21EE0C14" w14:textId="77777777" w:rsidTr="001D2D9F">
        <w:trPr>
          <w:trHeight w:val="1000"/>
        </w:trPr>
        <w:tc>
          <w:tcPr>
            <w:tcW w:w="2710" w:type="dxa"/>
            <w:tcBorders>
              <w:top w:val="single" w:sz="4" w:space="0" w:color="auto"/>
              <w:left w:val="single" w:sz="4" w:space="0" w:color="auto"/>
              <w:bottom w:val="single" w:sz="4" w:space="0" w:color="auto"/>
              <w:right w:val="single" w:sz="4" w:space="0" w:color="auto"/>
            </w:tcBorders>
            <w:hideMark/>
          </w:tcPr>
          <w:p w14:paraId="6FFA5C73" w14:textId="77777777" w:rsidR="00930B30" w:rsidRPr="006C07CE" w:rsidRDefault="00930B30" w:rsidP="00AF6B01">
            <w:pPr>
              <w:pStyle w:val="NoSpacing"/>
              <w:jc w:val="center"/>
              <w:rPr>
                <w:rFonts w:ascii="Arial" w:hAnsi="Arial" w:cs="Arial"/>
                <w:b/>
                <w:bCs/>
              </w:rPr>
            </w:pPr>
            <w:r w:rsidRPr="62385CB5">
              <w:rPr>
                <w:rFonts w:ascii="Arial" w:hAnsi="Arial" w:cs="Arial"/>
                <w:b/>
                <w:bCs/>
                <w:sz w:val="20"/>
                <w:szCs w:val="20"/>
              </w:rPr>
              <w:t>Performance Indicator</w:t>
            </w:r>
          </w:p>
          <w:p w14:paraId="72B9A9A1" w14:textId="77777777" w:rsidR="00930B30" w:rsidRPr="006C07CE" w:rsidRDefault="00930B30" w:rsidP="00AF6B01">
            <w:pPr>
              <w:pStyle w:val="NoSpacing"/>
              <w:rPr>
                <w:b/>
                <w:bCs/>
              </w:rPr>
            </w:pPr>
          </w:p>
        </w:tc>
        <w:tc>
          <w:tcPr>
            <w:tcW w:w="1466" w:type="dxa"/>
            <w:tcBorders>
              <w:top w:val="single" w:sz="4" w:space="0" w:color="auto"/>
              <w:left w:val="single" w:sz="4" w:space="0" w:color="auto"/>
              <w:bottom w:val="single" w:sz="4" w:space="0" w:color="auto"/>
              <w:right w:val="single" w:sz="4" w:space="0" w:color="auto"/>
            </w:tcBorders>
            <w:hideMark/>
          </w:tcPr>
          <w:p w14:paraId="57AD6E03" w14:textId="77777777" w:rsidR="00930B30" w:rsidRPr="006C07CE" w:rsidRDefault="00930B30" w:rsidP="00AF6B01">
            <w:pPr>
              <w:pStyle w:val="NoSpacing"/>
              <w:rPr>
                <w:rFonts w:ascii="Arial" w:hAnsi="Arial" w:cs="Arial"/>
                <w:b/>
                <w:bCs/>
              </w:rPr>
            </w:pPr>
            <w:r w:rsidRPr="62385CB5">
              <w:rPr>
                <w:rFonts w:ascii="Arial" w:hAnsi="Arial" w:cs="Arial"/>
                <w:b/>
                <w:bCs/>
                <w:sz w:val="20"/>
                <w:szCs w:val="20"/>
              </w:rPr>
              <w:t>Frequency</w:t>
            </w:r>
          </w:p>
          <w:p w14:paraId="336251EA" w14:textId="77777777" w:rsidR="00930B30" w:rsidRPr="006C07CE" w:rsidRDefault="00930B30" w:rsidP="00AF6B01">
            <w:pPr>
              <w:pStyle w:val="NoSpacing"/>
              <w:rPr>
                <w:b/>
                <w:bCs/>
              </w:rPr>
            </w:pPr>
          </w:p>
        </w:tc>
        <w:tc>
          <w:tcPr>
            <w:tcW w:w="1438" w:type="dxa"/>
            <w:tcBorders>
              <w:top w:val="single" w:sz="4" w:space="0" w:color="auto"/>
              <w:left w:val="single" w:sz="4" w:space="0" w:color="auto"/>
              <w:bottom w:val="single" w:sz="4" w:space="0" w:color="auto"/>
              <w:right w:val="single" w:sz="4" w:space="0" w:color="auto"/>
            </w:tcBorders>
          </w:tcPr>
          <w:p w14:paraId="5DED5C44" w14:textId="77777777" w:rsidR="00930B30" w:rsidRPr="006C07CE" w:rsidRDefault="00930B30" w:rsidP="00AF6B01">
            <w:pPr>
              <w:pStyle w:val="NoSpacing"/>
              <w:rPr>
                <w:rFonts w:ascii="Arial" w:hAnsi="Arial" w:cs="Arial"/>
                <w:b/>
                <w:bCs/>
              </w:rPr>
            </w:pPr>
            <w:r w:rsidRPr="62385CB5">
              <w:rPr>
                <w:rFonts w:ascii="Arial" w:hAnsi="Arial" w:cs="Arial"/>
                <w:b/>
                <w:bCs/>
                <w:sz w:val="20"/>
                <w:szCs w:val="20"/>
              </w:rPr>
              <w:t>Directorate</w:t>
            </w:r>
          </w:p>
          <w:p w14:paraId="75F989DF" w14:textId="77777777" w:rsidR="00930B30" w:rsidRPr="006C07CE" w:rsidRDefault="00930B30" w:rsidP="00AF6B01">
            <w:pPr>
              <w:pStyle w:val="NoSpacing"/>
              <w:rPr>
                <w:b/>
                <w:bCs/>
              </w:rPr>
            </w:pPr>
          </w:p>
        </w:tc>
        <w:tc>
          <w:tcPr>
            <w:tcW w:w="802" w:type="dxa"/>
            <w:tcBorders>
              <w:top w:val="single" w:sz="4" w:space="0" w:color="auto"/>
              <w:left w:val="single" w:sz="4" w:space="0" w:color="auto"/>
              <w:bottom w:val="single" w:sz="4" w:space="0" w:color="auto"/>
              <w:right w:val="single" w:sz="4" w:space="0" w:color="auto"/>
            </w:tcBorders>
          </w:tcPr>
          <w:p w14:paraId="012B22CE" w14:textId="77777777" w:rsidR="00930B30" w:rsidRPr="0018338F" w:rsidRDefault="00930B30" w:rsidP="00AF6B01">
            <w:pPr>
              <w:pStyle w:val="NoSpacing"/>
              <w:rPr>
                <w:rFonts w:ascii="Arial" w:hAnsi="Arial" w:cs="Arial"/>
                <w:b/>
                <w:bCs/>
              </w:rPr>
            </w:pPr>
            <w:r w:rsidRPr="62385CB5">
              <w:rPr>
                <w:rFonts w:ascii="Arial" w:hAnsi="Arial" w:cs="Arial"/>
                <w:b/>
                <w:bCs/>
                <w:sz w:val="20"/>
                <w:szCs w:val="20"/>
              </w:rPr>
              <w:t>Good is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EE2F6CD" w14:textId="77777777" w:rsidR="00930B30" w:rsidRPr="0018338F" w:rsidRDefault="00930B30" w:rsidP="00AF6B01">
            <w:pPr>
              <w:pStyle w:val="NoSpacing"/>
              <w:rPr>
                <w:rFonts w:ascii="Arial" w:hAnsi="Arial" w:cs="Arial"/>
                <w:b/>
                <w:bCs/>
              </w:rPr>
            </w:pPr>
            <w:r w:rsidRPr="78C3123E">
              <w:rPr>
                <w:rFonts w:ascii="Arial" w:hAnsi="Arial" w:cs="Arial"/>
                <w:b/>
                <w:bCs/>
                <w:sz w:val="20"/>
                <w:szCs w:val="20"/>
              </w:rPr>
              <w:t>2019/20 Outturn</w:t>
            </w:r>
          </w:p>
        </w:tc>
        <w:tc>
          <w:tcPr>
            <w:tcW w:w="1441" w:type="dxa"/>
            <w:tcBorders>
              <w:top w:val="single" w:sz="4" w:space="0" w:color="auto"/>
              <w:left w:val="single" w:sz="4" w:space="0" w:color="auto"/>
              <w:bottom w:val="single" w:sz="4" w:space="0" w:color="auto"/>
              <w:right w:val="single" w:sz="4" w:space="0" w:color="auto"/>
            </w:tcBorders>
          </w:tcPr>
          <w:p w14:paraId="1422F8A2" w14:textId="77777777" w:rsidR="00930B30" w:rsidRPr="006C07CE" w:rsidRDefault="00930B30" w:rsidP="00AF6B01">
            <w:pPr>
              <w:pStyle w:val="NoSpacing"/>
              <w:jc w:val="center"/>
              <w:rPr>
                <w:rFonts w:ascii="Arial" w:hAnsi="Arial" w:cs="Arial"/>
                <w:b/>
                <w:bCs/>
                <w:sz w:val="20"/>
                <w:szCs w:val="20"/>
              </w:rPr>
            </w:pPr>
            <w:r w:rsidRPr="62385CB5">
              <w:rPr>
                <w:rFonts w:ascii="Arial" w:hAnsi="Arial" w:cs="Arial"/>
                <w:b/>
                <w:bCs/>
                <w:sz w:val="20"/>
                <w:szCs w:val="20"/>
              </w:rPr>
              <w:t>2020/21 Outturn</w:t>
            </w:r>
          </w:p>
          <w:p w14:paraId="1CA91BEC" w14:textId="77777777" w:rsidR="00930B30" w:rsidRPr="006C07CE" w:rsidRDefault="00930B30" w:rsidP="00AF6B01">
            <w:pPr>
              <w:pStyle w:val="NoSpacing"/>
              <w:rPr>
                <w:b/>
                <w:bC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EA0E1A3" w14:textId="77777777" w:rsidR="00930B30" w:rsidRPr="003E0F90" w:rsidRDefault="00930B30" w:rsidP="00AF6B01">
            <w:pPr>
              <w:pStyle w:val="NoSpacing"/>
              <w:jc w:val="center"/>
              <w:rPr>
                <w:rFonts w:ascii="Arial" w:hAnsi="Arial" w:cs="Arial"/>
                <w:b/>
                <w:bCs/>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tc>
        <w:tc>
          <w:tcPr>
            <w:tcW w:w="1159" w:type="dxa"/>
            <w:tcBorders>
              <w:top w:val="single" w:sz="4" w:space="0" w:color="auto"/>
              <w:left w:val="single" w:sz="4" w:space="0" w:color="auto"/>
              <w:bottom w:val="single" w:sz="4" w:space="0" w:color="auto"/>
              <w:right w:val="single" w:sz="4" w:space="0" w:color="auto"/>
            </w:tcBorders>
          </w:tcPr>
          <w:p w14:paraId="1CFCE6D6"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2021/22</w:t>
            </w:r>
          </w:p>
          <w:p w14:paraId="2D305132" w14:textId="77777777" w:rsidR="00930B30" w:rsidRDefault="00930B30" w:rsidP="00AF6B01">
            <w:pPr>
              <w:pStyle w:val="NoSpacing"/>
              <w:jc w:val="center"/>
              <w:rPr>
                <w:rFonts w:ascii="Arial" w:hAnsi="Arial" w:cs="Arial"/>
                <w:b/>
                <w:bCs/>
                <w:sz w:val="20"/>
                <w:szCs w:val="20"/>
              </w:rPr>
            </w:pPr>
            <w:r>
              <w:rPr>
                <w:rFonts w:ascii="Arial" w:hAnsi="Arial" w:cs="Arial"/>
                <w:b/>
                <w:bCs/>
                <w:sz w:val="20"/>
                <w:szCs w:val="20"/>
              </w:rPr>
              <w:t>Quarter 2</w:t>
            </w:r>
          </w:p>
          <w:p w14:paraId="31A7C082" w14:textId="77777777" w:rsidR="00930B30" w:rsidRPr="62385CB5" w:rsidRDefault="00930B30" w:rsidP="00AF6B01">
            <w:pPr>
              <w:pStyle w:val="NoSpacing"/>
              <w:jc w:val="center"/>
              <w:rPr>
                <w:rFonts w:ascii="Arial" w:hAnsi="Arial" w:cs="Arial"/>
                <w:b/>
                <w:bCs/>
                <w:sz w:val="20"/>
                <w:szCs w:val="20"/>
              </w:rPr>
            </w:pPr>
            <w:r w:rsidRPr="00254A8C">
              <w:rPr>
                <w:rFonts w:ascii="Arial" w:hAnsi="Arial" w:cs="Arial"/>
                <w:b/>
                <w:bCs/>
                <w:sz w:val="18"/>
                <w:szCs w:val="18"/>
              </w:rPr>
              <w:t>(July – Sep)</w:t>
            </w:r>
          </w:p>
        </w:tc>
        <w:tc>
          <w:tcPr>
            <w:tcW w:w="1159" w:type="dxa"/>
            <w:tcBorders>
              <w:top w:val="single" w:sz="4" w:space="0" w:color="auto"/>
              <w:left w:val="single" w:sz="4" w:space="0" w:color="auto"/>
              <w:bottom w:val="single" w:sz="4" w:space="0" w:color="auto"/>
              <w:right w:val="single" w:sz="4" w:space="0" w:color="auto"/>
            </w:tcBorders>
          </w:tcPr>
          <w:p w14:paraId="0B9110CC"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2021/22</w:t>
            </w:r>
          </w:p>
          <w:p w14:paraId="573E2638"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20"/>
                <w:szCs w:val="20"/>
              </w:rPr>
              <w:t>Quarter 3</w:t>
            </w:r>
          </w:p>
          <w:p w14:paraId="064D1075" w14:textId="77777777" w:rsidR="00930B30" w:rsidRDefault="00930B30" w:rsidP="00AF6B01">
            <w:pPr>
              <w:pStyle w:val="NoSpacing"/>
              <w:jc w:val="center"/>
              <w:rPr>
                <w:rFonts w:ascii="Arial" w:hAnsi="Arial" w:cs="Arial"/>
                <w:b/>
                <w:bCs/>
                <w:sz w:val="20"/>
                <w:szCs w:val="20"/>
              </w:rPr>
            </w:pPr>
            <w:r w:rsidRPr="114D10C4">
              <w:rPr>
                <w:rFonts w:ascii="Arial" w:hAnsi="Arial" w:cs="Arial"/>
                <w:b/>
                <w:bCs/>
                <w:sz w:val="18"/>
                <w:szCs w:val="18"/>
              </w:rPr>
              <w:t>(Oct– Dec)</w:t>
            </w:r>
          </w:p>
          <w:p w14:paraId="557D1160" w14:textId="77777777" w:rsidR="00930B30" w:rsidRDefault="00930B30" w:rsidP="00AF6B01">
            <w:pPr>
              <w:pStyle w:val="NoSpacing"/>
              <w:jc w:val="center"/>
              <w:rPr>
                <w:b/>
                <w:bCs/>
                <w:sz w:val="20"/>
                <w:szCs w:val="20"/>
              </w:rPr>
            </w:pPr>
          </w:p>
        </w:tc>
        <w:tc>
          <w:tcPr>
            <w:tcW w:w="1307" w:type="dxa"/>
            <w:tcBorders>
              <w:top w:val="single" w:sz="4" w:space="0" w:color="auto"/>
              <w:left w:val="single" w:sz="4" w:space="0" w:color="auto"/>
              <w:bottom w:val="single" w:sz="4" w:space="0" w:color="auto"/>
              <w:right w:val="single" w:sz="4" w:space="0" w:color="auto"/>
            </w:tcBorders>
          </w:tcPr>
          <w:p w14:paraId="3A10648B" w14:textId="77777777" w:rsidR="00930B30" w:rsidRPr="0018338F" w:rsidRDefault="00930B30" w:rsidP="00AF6B01">
            <w:pPr>
              <w:pStyle w:val="NoSpacing"/>
              <w:jc w:val="center"/>
              <w:rPr>
                <w:rFonts w:ascii="Arial" w:hAnsi="Arial" w:cs="Arial"/>
                <w:b/>
                <w:bCs/>
              </w:rPr>
            </w:pPr>
            <w:r w:rsidRPr="62385CB5">
              <w:rPr>
                <w:rFonts w:ascii="Arial" w:hAnsi="Arial" w:cs="Arial"/>
                <w:b/>
                <w:bCs/>
                <w:sz w:val="20"/>
                <w:szCs w:val="20"/>
              </w:rPr>
              <w:t>2021/22 Target</w:t>
            </w:r>
          </w:p>
        </w:tc>
      </w:tr>
      <w:tr w:rsidR="00C342D4" w14:paraId="3D37F707" w14:textId="77777777" w:rsidTr="001D2D9F">
        <w:trPr>
          <w:trHeight w:val="557"/>
        </w:trPr>
        <w:tc>
          <w:tcPr>
            <w:tcW w:w="2710" w:type="dxa"/>
            <w:tcBorders>
              <w:top w:val="single" w:sz="4" w:space="0" w:color="auto"/>
              <w:left w:val="single" w:sz="4" w:space="0" w:color="auto"/>
              <w:bottom w:val="single" w:sz="4" w:space="0" w:color="auto"/>
              <w:right w:val="single" w:sz="4" w:space="0" w:color="auto"/>
            </w:tcBorders>
            <w:hideMark/>
          </w:tcPr>
          <w:p w14:paraId="44521E1A" w14:textId="77777777" w:rsidR="00930B30" w:rsidRPr="0060756D" w:rsidRDefault="00930B30" w:rsidP="00AF6B01">
            <w:pPr>
              <w:pStyle w:val="NoSpacing"/>
              <w:rPr>
                <w:rFonts w:ascii="Arial" w:hAnsi="Arial" w:cs="Arial"/>
              </w:rPr>
            </w:pPr>
            <w:r w:rsidRPr="0060756D">
              <w:rPr>
                <w:rFonts w:ascii="Arial" w:hAnsi="Arial" w:cs="Arial"/>
              </w:rPr>
              <w:t>Percentage of older people (65 and over) who were still at home 91 days after discharge from hospital into reablement/</w:t>
            </w:r>
            <w:r>
              <w:rPr>
                <w:rFonts w:ascii="Arial" w:hAnsi="Arial" w:cs="Arial"/>
              </w:rPr>
              <w:t xml:space="preserve"> </w:t>
            </w:r>
            <w:r w:rsidRPr="0060756D">
              <w:rPr>
                <w:rFonts w:ascii="Arial" w:hAnsi="Arial" w:cs="Arial"/>
              </w:rPr>
              <w:t>rehabilitation services</w:t>
            </w:r>
          </w:p>
        </w:tc>
        <w:tc>
          <w:tcPr>
            <w:tcW w:w="1466" w:type="dxa"/>
            <w:tcBorders>
              <w:top w:val="single" w:sz="4" w:space="0" w:color="auto"/>
              <w:left w:val="single" w:sz="4" w:space="0" w:color="auto"/>
              <w:bottom w:val="single" w:sz="4" w:space="0" w:color="auto"/>
              <w:right w:val="single" w:sz="4" w:space="0" w:color="auto"/>
            </w:tcBorders>
            <w:hideMark/>
          </w:tcPr>
          <w:p w14:paraId="1D59A630" w14:textId="77777777" w:rsidR="00930B30" w:rsidRPr="0060756D" w:rsidRDefault="00930B30" w:rsidP="00AF6B01">
            <w:pPr>
              <w:pStyle w:val="NoSpacing"/>
              <w:rPr>
                <w:rFonts w:ascii="Arial" w:hAnsi="Arial" w:cs="Arial"/>
              </w:rPr>
            </w:pPr>
            <w:r w:rsidRPr="0060756D">
              <w:rPr>
                <w:rFonts w:ascii="Arial" w:hAnsi="Arial" w:cs="Arial"/>
              </w:rPr>
              <w:t>Quarterly</w:t>
            </w:r>
          </w:p>
        </w:tc>
        <w:tc>
          <w:tcPr>
            <w:tcW w:w="1438" w:type="dxa"/>
            <w:tcBorders>
              <w:top w:val="single" w:sz="4" w:space="0" w:color="auto"/>
              <w:left w:val="single" w:sz="4" w:space="0" w:color="auto"/>
              <w:bottom w:val="single" w:sz="4" w:space="0" w:color="auto"/>
              <w:right w:val="single" w:sz="4" w:space="0" w:color="auto"/>
            </w:tcBorders>
          </w:tcPr>
          <w:p w14:paraId="134931A4" w14:textId="77777777" w:rsidR="00930B30" w:rsidRPr="0060756D" w:rsidRDefault="00930B30" w:rsidP="00AF6B01">
            <w:pPr>
              <w:pStyle w:val="NoSpacing"/>
              <w:rPr>
                <w:rFonts w:ascii="Arial" w:hAnsi="Arial" w:cs="Arial"/>
              </w:rPr>
            </w:pPr>
            <w:r w:rsidRPr="0060756D">
              <w:rPr>
                <w:rFonts w:ascii="Arial" w:hAnsi="Arial" w:cs="Arial"/>
              </w:rPr>
              <w:t>Adults Services and Health and Wellbeing</w:t>
            </w:r>
          </w:p>
        </w:tc>
        <w:tc>
          <w:tcPr>
            <w:tcW w:w="802" w:type="dxa"/>
            <w:tcBorders>
              <w:top w:val="single" w:sz="4" w:space="0" w:color="auto"/>
              <w:left w:val="single" w:sz="4" w:space="0" w:color="auto"/>
              <w:bottom w:val="single" w:sz="4" w:space="0" w:color="auto"/>
              <w:right w:val="single" w:sz="4" w:space="0" w:color="auto"/>
            </w:tcBorders>
          </w:tcPr>
          <w:p w14:paraId="7A022EE0" w14:textId="77777777" w:rsidR="00930B30" w:rsidRPr="0060756D" w:rsidRDefault="00930B30" w:rsidP="00AF6B01">
            <w:pPr>
              <w:pStyle w:val="NoSpacing"/>
              <w:rPr>
                <w:rFonts w:ascii="Arial" w:hAnsi="Arial" w:cs="Arial"/>
              </w:rPr>
            </w:pPr>
            <w:r w:rsidRPr="0060756D">
              <w:rPr>
                <w:rFonts w:ascii="Arial" w:hAnsi="Arial" w:cs="Arial"/>
              </w:rPr>
              <w:t>High</w:t>
            </w:r>
          </w:p>
        </w:tc>
        <w:tc>
          <w:tcPr>
            <w:tcW w:w="10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CD4076" w14:textId="77777777" w:rsidR="00930B30" w:rsidRPr="0060756D" w:rsidRDefault="00930B30" w:rsidP="00AF6B01">
            <w:pPr>
              <w:pStyle w:val="NoSpacing"/>
              <w:jc w:val="center"/>
              <w:rPr>
                <w:rFonts w:ascii="Arial" w:hAnsi="Arial" w:cs="Arial"/>
              </w:rPr>
            </w:pPr>
            <w:r w:rsidRPr="78C3123E">
              <w:rPr>
                <w:rFonts w:ascii="Arial" w:hAnsi="Arial" w:cs="Arial"/>
              </w:rPr>
              <w:t>84.3%</w:t>
            </w:r>
          </w:p>
        </w:tc>
        <w:tc>
          <w:tcPr>
            <w:tcW w:w="14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2EB6BA" w14:textId="77777777" w:rsidR="00930B30" w:rsidRPr="0060756D" w:rsidRDefault="00930B30" w:rsidP="00AF6B01">
            <w:pPr>
              <w:pStyle w:val="NoSpacing"/>
              <w:jc w:val="center"/>
              <w:rPr>
                <w:rFonts w:ascii="Arial" w:hAnsi="Arial" w:cs="Arial"/>
              </w:rPr>
            </w:pPr>
            <w:r w:rsidRPr="62385CB5">
              <w:rPr>
                <w:rFonts w:ascii="Arial" w:hAnsi="Arial" w:cs="Arial"/>
              </w:rPr>
              <w:t>81.6%</w:t>
            </w:r>
          </w:p>
        </w:tc>
        <w:tc>
          <w:tcPr>
            <w:tcW w:w="144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424B877" w14:textId="77777777" w:rsidR="00930B30" w:rsidRPr="0060756D" w:rsidRDefault="00930B30" w:rsidP="00AF6B01">
            <w:pPr>
              <w:pStyle w:val="NoSpacing"/>
              <w:jc w:val="center"/>
              <w:rPr>
                <w:rFonts w:ascii="Arial" w:hAnsi="Arial" w:cs="Arial"/>
              </w:rPr>
            </w:pPr>
            <w:r w:rsidRPr="62385CB5">
              <w:rPr>
                <w:rFonts w:ascii="Arial" w:hAnsi="Arial" w:cs="Arial"/>
              </w:rPr>
              <w:t>86.7%</w:t>
            </w:r>
          </w:p>
        </w:tc>
        <w:tc>
          <w:tcPr>
            <w:tcW w:w="11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57E3B" w14:textId="77777777" w:rsidR="00930B30" w:rsidRPr="78C3123E" w:rsidRDefault="00930B30" w:rsidP="00AF6B01">
            <w:pPr>
              <w:pStyle w:val="NoSpacing"/>
              <w:jc w:val="center"/>
              <w:rPr>
                <w:rFonts w:ascii="Arial" w:hAnsi="Arial" w:cs="Arial"/>
              </w:rPr>
            </w:pPr>
            <w:r>
              <w:rPr>
                <w:rFonts w:ascii="Arial" w:hAnsi="Arial" w:cs="Arial"/>
              </w:rPr>
              <w:t>85.2%</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885E79" w14:textId="77777777" w:rsidR="00930B30" w:rsidRDefault="00930B30" w:rsidP="00AF6B01">
            <w:pPr>
              <w:pStyle w:val="NoSpacing"/>
              <w:jc w:val="center"/>
              <w:rPr>
                <w:rFonts w:ascii="Arial" w:hAnsi="Arial" w:cs="Arial"/>
              </w:rPr>
            </w:pPr>
            <w:r w:rsidRPr="114D10C4">
              <w:rPr>
                <w:rFonts w:ascii="Arial" w:hAnsi="Arial" w:cs="Arial"/>
              </w:rPr>
              <w:t>87.4%</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0E936" w14:textId="77777777" w:rsidR="00930B30" w:rsidRDefault="00930B30" w:rsidP="00AF6B01">
            <w:pPr>
              <w:pStyle w:val="NoSpacing"/>
              <w:jc w:val="center"/>
              <w:rPr>
                <w:rFonts w:ascii="Arial" w:hAnsi="Arial" w:cs="Arial"/>
              </w:rPr>
            </w:pPr>
            <w:r w:rsidRPr="78C3123E">
              <w:rPr>
                <w:rFonts w:ascii="Arial" w:hAnsi="Arial" w:cs="Arial"/>
              </w:rPr>
              <w:t>87.4%</w:t>
            </w:r>
          </w:p>
          <w:p w14:paraId="221A630B" w14:textId="77777777" w:rsidR="00A52878" w:rsidRDefault="00A52878" w:rsidP="00AF6B01">
            <w:pPr>
              <w:pStyle w:val="NoSpacing"/>
              <w:jc w:val="center"/>
              <w:rPr>
                <w:rFonts w:ascii="Arial" w:hAnsi="Arial" w:cs="Arial"/>
              </w:rPr>
            </w:pPr>
          </w:p>
          <w:p w14:paraId="2F6B42DB" w14:textId="77777777" w:rsidR="00A52878" w:rsidRDefault="00A52878" w:rsidP="00AF6B01">
            <w:pPr>
              <w:pStyle w:val="NoSpacing"/>
              <w:jc w:val="center"/>
              <w:rPr>
                <w:rFonts w:ascii="Arial" w:hAnsi="Arial" w:cs="Arial"/>
              </w:rPr>
            </w:pPr>
          </w:p>
          <w:p w14:paraId="6740372E" w14:textId="77777777" w:rsidR="00A52878" w:rsidRDefault="00A52878" w:rsidP="00AF6B01">
            <w:pPr>
              <w:pStyle w:val="NoSpacing"/>
              <w:jc w:val="center"/>
              <w:rPr>
                <w:rFonts w:ascii="Arial" w:hAnsi="Arial" w:cs="Arial"/>
              </w:rPr>
            </w:pPr>
          </w:p>
          <w:p w14:paraId="6300E276" w14:textId="77777777" w:rsidR="00A52878" w:rsidRDefault="00A52878" w:rsidP="00AF6B01">
            <w:pPr>
              <w:pStyle w:val="NoSpacing"/>
              <w:jc w:val="center"/>
              <w:rPr>
                <w:rFonts w:ascii="Arial" w:hAnsi="Arial" w:cs="Arial"/>
              </w:rPr>
            </w:pPr>
          </w:p>
          <w:p w14:paraId="00B82BE0" w14:textId="77777777" w:rsidR="00A52878" w:rsidRDefault="00A52878" w:rsidP="00AF6B01">
            <w:pPr>
              <w:pStyle w:val="NoSpacing"/>
              <w:jc w:val="center"/>
              <w:rPr>
                <w:rFonts w:ascii="Arial" w:hAnsi="Arial" w:cs="Arial"/>
              </w:rPr>
            </w:pPr>
          </w:p>
          <w:p w14:paraId="789D14E8" w14:textId="33FCB4FD" w:rsidR="00A52878" w:rsidRPr="0060756D" w:rsidRDefault="00A52878" w:rsidP="00AF6B01">
            <w:pPr>
              <w:pStyle w:val="NoSpacing"/>
              <w:jc w:val="center"/>
              <w:rPr>
                <w:rFonts w:ascii="Arial" w:hAnsi="Arial" w:cs="Arial"/>
              </w:rPr>
            </w:pPr>
          </w:p>
        </w:tc>
      </w:tr>
      <w:tr w:rsidR="00A52878" w14:paraId="3FE79510" w14:textId="77777777" w:rsidTr="00A52878">
        <w:trPr>
          <w:trHeight w:val="666"/>
        </w:trPr>
        <w:tc>
          <w:tcPr>
            <w:tcW w:w="2710" w:type="dxa"/>
            <w:tcBorders>
              <w:top w:val="single" w:sz="4" w:space="0" w:color="auto"/>
              <w:left w:val="single" w:sz="4" w:space="0" w:color="auto"/>
              <w:bottom w:val="single" w:sz="4" w:space="0" w:color="auto"/>
              <w:right w:val="single" w:sz="4" w:space="0" w:color="auto"/>
            </w:tcBorders>
            <w:shd w:val="clear" w:color="auto" w:fill="auto"/>
          </w:tcPr>
          <w:p w14:paraId="0ADC6D0F" w14:textId="77777777" w:rsidR="00A52878" w:rsidRPr="006C07CE" w:rsidRDefault="00A52878" w:rsidP="00A52878">
            <w:pPr>
              <w:pStyle w:val="NoSpacing"/>
              <w:jc w:val="center"/>
              <w:rPr>
                <w:rFonts w:ascii="Arial" w:hAnsi="Arial" w:cs="Arial"/>
                <w:b/>
                <w:bCs/>
              </w:rPr>
            </w:pPr>
            <w:r w:rsidRPr="62385CB5">
              <w:rPr>
                <w:rFonts w:ascii="Arial" w:hAnsi="Arial" w:cs="Arial"/>
                <w:b/>
                <w:bCs/>
                <w:sz w:val="20"/>
                <w:szCs w:val="20"/>
              </w:rPr>
              <w:lastRenderedPageBreak/>
              <w:t>Performance Indicator</w:t>
            </w:r>
          </w:p>
          <w:p w14:paraId="25F557E7" w14:textId="77777777" w:rsidR="00A52878" w:rsidRPr="0060756D" w:rsidRDefault="00A52878" w:rsidP="00A52878">
            <w:pPr>
              <w:pStyle w:val="NoSpacing"/>
              <w:rPr>
                <w:rFonts w:ascii="Arial" w:hAnsi="Arial" w:cs="Arial"/>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5507CB8" w14:textId="77777777" w:rsidR="00A52878" w:rsidRPr="006C07CE" w:rsidRDefault="00A52878" w:rsidP="00A52878">
            <w:pPr>
              <w:pStyle w:val="NoSpacing"/>
              <w:rPr>
                <w:rFonts w:ascii="Arial" w:hAnsi="Arial" w:cs="Arial"/>
                <w:b/>
                <w:bCs/>
              </w:rPr>
            </w:pPr>
            <w:r w:rsidRPr="62385CB5">
              <w:rPr>
                <w:rFonts w:ascii="Arial" w:hAnsi="Arial" w:cs="Arial"/>
                <w:b/>
                <w:bCs/>
                <w:sz w:val="20"/>
                <w:szCs w:val="20"/>
              </w:rPr>
              <w:t>Frequency</w:t>
            </w:r>
          </w:p>
          <w:p w14:paraId="503A0D5D" w14:textId="77777777" w:rsidR="00A52878" w:rsidRPr="0060756D" w:rsidRDefault="00A52878" w:rsidP="00A52878">
            <w:pPr>
              <w:pStyle w:val="NoSpacing"/>
              <w:rPr>
                <w:rFonts w:ascii="Arial" w:hAnsi="Arial" w:cs="Arial"/>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3BCD6604" w14:textId="77777777" w:rsidR="00A52878" w:rsidRPr="006C07CE" w:rsidRDefault="00A52878" w:rsidP="00A52878">
            <w:pPr>
              <w:pStyle w:val="NoSpacing"/>
              <w:rPr>
                <w:rFonts w:ascii="Arial" w:hAnsi="Arial" w:cs="Arial"/>
                <w:b/>
                <w:bCs/>
              </w:rPr>
            </w:pPr>
            <w:r w:rsidRPr="62385CB5">
              <w:rPr>
                <w:rFonts w:ascii="Arial" w:hAnsi="Arial" w:cs="Arial"/>
                <w:b/>
                <w:bCs/>
                <w:sz w:val="20"/>
                <w:szCs w:val="20"/>
              </w:rPr>
              <w:t>Directorate</w:t>
            </w:r>
          </w:p>
          <w:p w14:paraId="5E1F7775" w14:textId="77777777" w:rsidR="00A52878" w:rsidRPr="0060756D" w:rsidRDefault="00A52878" w:rsidP="00A52878">
            <w:pPr>
              <w:pStyle w:val="NoSpacing"/>
              <w:rPr>
                <w:rFonts w:ascii="Arial" w:hAnsi="Arial" w:cs="Arial"/>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7836B910" w14:textId="51CF876F" w:rsidR="00A52878" w:rsidRPr="0060756D" w:rsidRDefault="00A52878" w:rsidP="00A52878">
            <w:pPr>
              <w:pStyle w:val="NoSpacing"/>
              <w:rPr>
                <w:rFonts w:ascii="Arial" w:hAnsi="Arial" w:cs="Arial"/>
              </w:rPr>
            </w:pPr>
            <w:r w:rsidRPr="62385CB5">
              <w:rPr>
                <w:rFonts w:ascii="Arial" w:hAnsi="Arial" w:cs="Arial"/>
                <w:b/>
                <w:bCs/>
                <w:sz w:val="20"/>
                <w:szCs w:val="20"/>
              </w:rPr>
              <w:t>Good is</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6669ACA" w14:textId="218BA151" w:rsidR="00A52878" w:rsidRPr="0060756D" w:rsidRDefault="00A52878" w:rsidP="00A52878">
            <w:pPr>
              <w:pStyle w:val="NoSpacing"/>
              <w:jc w:val="center"/>
              <w:rPr>
                <w:rFonts w:ascii="Arial" w:hAnsi="Arial" w:cs="Arial"/>
              </w:rPr>
            </w:pPr>
            <w:r w:rsidRPr="78C3123E">
              <w:rPr>
                <w:rFonts w:ascii="Arial" w:hAnsi="Arial" w:cs="Arial"/>
                <w:b/>
                <w:bCs/>
                <w:sz w:val="20"/>
                <w:szCs w:val="20"/>
              </w:rPr>
              <w:t>2019/20 Outturn</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4B85ACD" w14:textId="77777777" w:rsidR="00A52878" w:rsidRPr="006C07CE" w:rsidRDefault="00A52878" w:rsidP="00A52878">
            <w:pPr>
              <w:pStyle w:val="NoSpacing"/>
              <w:jc w:val="center"/>
              <w:rPr>
                <w:rFonts w:ascii="Arial" w:hAnsi="Arial" w:cs="Arial"/>
                <w:b/>
                <w:bCs/>
                <w:sz w:val="20"/>
                <w:szCs w:val="20"/>
              </w:rPr>
            </w:pPr>
            <w:r w:rsidRPr="62385CB5">
              <w:rPr>
                <w:rFonts w:ascii="Arial" w:hAnsi="Arial" w:cs="Arial"/>
                <w:b/>
                <w:bCs/>
                <w:sz w:val="20"/>
                <w:szCs w:val="20"/>
              </w:rPr>
              <w:t>2020/21 Outturn</w:t>
            </w:r>
          </w:p>
          <w:p w14:paraId="094D1A84" w14:textId="77777777" w:rsidR="00A52878" w:rsidRPr="62385CB5" w:rsidRDefault="00A52878" w:rsidP="00A52878">
            <w:pPr>
              <w:pStyle w:val="NoSpacing"/>
              <w:jc w:val="center"/>
              <w:rPr>
                <w:rFonts w:ascii="Arial" w:hAnsi="Arial" w:cs="Arial"/>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DFEF957" w14:textId="2F800AB1" w:rsidR="00A52878" w:rsidRPr="62385CB5" w:rsidRDefault="00A52878" w:rsidP="00A52878">
            <w:pPr>
              <w:pStyle w:val="NoSpacing"/>
              <w:jc w:val="center"/>
              <w:rPr>
                <w:rFonts w:ascii="Arial" w:hAnsi="Arial" w:cs="Arial"/>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E27062F" w14:textId="77777777" w:rsidR="00A52878" w:rsidRDefault="00A52878" w:rsidP="00A52878">
            <w:pPr>
              <w:pStyle w:val="NoSpacing"/>
              <w:jc w:val="center"/>
              <w:rPr>
                <w:rFonts w:ascii="Arial" w:hAnsi="Arial" w:cs="Arial"/>
                <w:b/>
                <w:bCs/>
                <w:sz w:val="20"/>
                <w:szCs w:val="20"/>
              </w:rPr>
            </w:pPr>
            <w:r>
              <w:rPr>
                <w:rFonts w:ascii="Arial" w:hAnsi="Arial" w:cs="Arial"/>
                <w:b/>
                <w:bCs/>
                <w:sz w:val="20"/>
                <w:szCs w:val="20"/>
              </w:rPr>
              <w:t>2021/22</w:t>
            </w:r>
          </w:p>
          <w:p w14:paraId="1A2529C5" w14:textId="77777777" w:rsidR="00A52878" w:rsidRDefault="00A52878" w:rsidP="00A52878">
            <w:pPr>
              <w:pStyle w:val="NoSpacing"/>
              <w:jc w:val="center"/>
              <w:rPr>
                <w:rFonts w:ascii="Arial" w:hAnsi="Arial" w:cs="Arial"/>
                <w:b/>
                <w:bCs/>
                <w:sz w:val="20"/>
                <w:szCs w:val="20"/>
              </w:rPr>
            </w:pPr>
            <w:r>
              <w:rPr>
                <w:rFonts w:ascii="Arial" w:hAnsi="Arial" w:cs="Arial"/>
                <w:b/>
                <w:bCs/>
                <w:sz w:val="20"/>
                <w:szCs w:val="20"/>
              </w:rPr>
              <w:t>Quarter 2</w:t>
            </w:r>
          </w:p>
          <w:p w14:paraId="69B07211" w14:textId="1EC0253D" w:rsidR="00A52878" w:rsidRDefault="00A52878" w:rsidP="00A52878">
            <w:pPr>
              <w:pStyle w:val="NoSpacing"/>
              <w:jc w:val="center"/>
              <w:rPr>
                <w:rFonts w:ascii="Arial" w:hAnsi="Arial" w:cs="Arial"/>
              </w:rPr>
            </w:pPr>
            <w:r w:rsidRPr="00254A8C">
              <w:rPr>
                <w:rFonts w:ascii="Arial" w:hAnsi="Arial" w:cs="Arial"/>
                <w:b/>
                <w:bCs/>
                <w:sz w:val="18"/>
                <w:szCs w:val="18"/>
              </w:rPr>
              <w:t>(July – Sep)</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C615141" w14:textId="77777777" w:rsidR="00A52878" w:rsidRDefault="00A52878" w:rsidP="00A52878">
            <w:pPr>
              <w:pStyle w:val="NoSpacing"/>
              <w:jc w:val="center"/>
              <w:rPr>
                <w:rFonts w:ascii="Arial" w:hAnsi="Arial" w:cs="Arial"/>
                <w:b/>
                <w:bCs/>
                <w:sz w:val="20"/>
                <w:szCs w:val="20"/>
              </w:rPr>
            </w:pPr>
            <w:r w:rsidRPr="114D10C4">
              <w:rPr>
                <w:rFonts w:ascii="Arial" w:hAnsi="Arial" w:cs="Arial"/>
                <w:b/>
                <w:bCs/>
                <w:sz w:val="20"/>
                <w:szCs w:val="20"/>
              </w:rPr>
              <w:t>2021/22</w:t>
            </w:r>
          </w:p>
          <w:p w14:paraId="4C76F804" w14:textId="77777777" w:rsidR="00A52878" w:rsidRDefault="00A52878" w:rsidP="00A52878">
            <w:pPr>
              <w:pStyle w:val="NoSpacing"/>
              <w:jc w:val="center"/>
              <w:rPr>
                <w:rFonts w:ascii="Arial" w:hAnsi="Arial" w:cs="Arial"/>
                <w:b/>
                <w:bCs/>
                <w:sz w:val="20"/>
                <w:szCs w:val="20"/>
              </w:rPr>
            </w:pPr>
            <w:r w:rsidRPr="114D10C4">
              <w:rPr>
                <w:rFonts w:ascii="Arial" w:hAnsi="Arial" w:cs="Arial"/>
                <w:b/>
                <w:bCs/>
                <w:sz w:val="20"/>
                <w:szCs w:val="20"/>
              </w:rPr>
              <w:t>Quarter 3</w:t>
            </w:r>
          </w:p>
          <w:p w14:paraId="0B157D49" w14:textId="77777777" w:rsidR="00A52878" w:rsidRDefault="00A52878" w:rsidP="00A52878">
            <w:pPr>
              <w:pStyle w:val="NoSpacing"/>
              <w:jc w:val="center"/>
              <w:rPr>
                <w:rFonts w:ascii="Arial" w:hAnsi="Arial" w:cs="Arial"/>
                <w:b/>
                <w:bCs/>
                <w:sz w:val="20"/>
                <w:szCs w:val="20"/>
              </w:rPr>
            </w:pPr>
            <w:r w:rsidRPr="114D10C4">
              <w:rPr>
                <w:rFonts w:ascii="Arial" w:hAnsi="Arial" w:cs="Arial"/>
                <w:b/>
                <w:bCs/>
                <w:sz w:val="18"/>
                <w:szCs w:val="18"/>
              </w:rPr>
              <w:t>(Oct– Dec)</w:t>
            </w:r>
          </w:p>
          <w:p w14:paraId="3114F2EF" w14:textId="77777777" w:rsidR="00A52878" w:rsidRPr="114D10C4" w:rsidRDefault="00A52878" w:rsidP="00A52878">
            <w:pPr>
              <w:pStyle w:val="NoSpacing"/>
              <w:jc w:val="center"/>
              <w:rPr>
                <w:rFonts w:ascii="Arial" w:hAnsi="Arial" w:cs="Arial"/>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BB87EDD" w14:textId="5274061A" w:rsidR="00A52878" w:rsidRPr="62385CB5" w:rsidRDefault="00A52878" w:rsidP="00A52878">
            <w:pPr>
              <w:pStyle w:val="NoSpacing"/>
              <w:jc w:val="center"/>
              <w:rPr>
                <w:rFonts w:ascii="Arial" w:hAnsi="Arial" w:cs="Arial"/>
              </w:rPr>
            </w:pPr>
            <w:r w:rsidRPr="62385CB5">
              <w:rPr>
                <w:rFonts w:ascii="Arial" w:hAnsi="Arial" w:cs="Arial"/>
                <w:b/>
                <w:bCs/>
                <w:sz w:val="20"/>
                <w:szCs w:val="20"/>
              </w:rPr>
              <w:t>2021/22 Target</w:t>
            </w:r>
          </w:p>
        </w:tc>
      </w:tr>
      <w:tr w:rsidR="00C342D4" w14:paraId="1AEF4091" w14:textId="77777777" w:rsidTr="001D2D9F">
        <w:trPr>
          <w:trHeight w:val="666"/>
        </w:trPr>
        <w:tc>
          <w:tcPr>
            <w:tcW w:w="2710" w:type="dxa"/>
            <w:tcBorders>
              <w:top w:val="single" w:sz="4" w:space="0" w:color="auto"/>
              <w:left w:val="single" w:sz="4" w:space="0" w:color="auto"/>
              <w:bottom w:val="single" w:sz="4" w:space="0" w:color="auto"/>
              <w:right w:val="single" w:sz="4" w:space="0" w:color="auto"/>
            </w:tcBorders>
            <w:hideMark/>
          </w:tcPr>
          <w:p w14:paraId="270C8D01" w14:textId="77777777" w:rsidR="00A52878" w:rsidRPr="0060756D" w:rsidRDefault="00A52878" w:rsidP="00A52878">
            <w:pPr>
              <w:pStyle w:val="NoSpacing"/>
              <w:rPr>
                <w:rFonts w:ascii="Arial" w:hAnsi="Arial" w:cs="Arial"/>
                <w:i/>
              </w:rPr>
            </w:pPr>
            <w:r w:rsidRPr="0060756D">
              <w:rPr>
                <w:rFonts w:ascii="Arial" w:hAnsi="Arial" w:cs="Arial"/>
              </w:rPr>
              <w:t>Proportion of adults with learning disabilities who live in their own home</w:t>
            </w:r>
          </w:p>
        </w:tc>
        <w:tc>
          <w:tcPr>
            <w:tcW w:w="1466" w:type="dxa"/>
            <w:tcBorders>
              <w:top w:val="single" w:sz="4" w:space="0" w:color="auto"/>
              <w:left w:val="single" w:sz="4" w:space="0" w:color="auto"/>
              <w:bottom w:val="single" w:sz="4" w:space="0" w:color="auto"/>
              <w:right w:val="single" w:sz="4" w:space="0" w:color="auto"/>
            </w:tcBorders>
            <w:hideMark/>
          </w:tcPr>
          <w:p w14:paraId="278A2174" w14:textId="77777777" w:rsidR="00A52878" w:rsidRPr="0060756D" w:rsidRDefault="00A52878" w:rsidP="00A52878">
            <w:pPr>
              <w:pStyle w:val="NoSpacing"/>
              <w:rPr>
                <w:rFonts w:ascii="Arial" w:hAnsi="Arial" w:cs="Arial"/>
                <w:i/>
              </w:rPr>
            </w:pPr>
            <w:r w:rsidRPr="0060756D">
              <w:rPr>
                <w:rFonts w:ascii="Arial" w:hAnsi="Arial" w:cs="Arial"/>
              </w:rPr>
              <w:t>Quarterly</w:t>
            </w:r>
          </w:p>
        </w:tc>
        <w:tc>
          <w:tcPr>
            <w:tcW w:w="1438" w:type="dxa"/>
            <w:tcBorders>
              <w:top w:val="single" w:sz="4" w:space="0" w:color="auto"/>
              <w:left w:val="single" w:sz="4" w:space="0" w:color="auto"/>
              <w:bottom w:val="single" w:sz="4" w:space="0" w:color="auto"/>
              <w:right w:val="single" w:sz="4" w:space="0" w:color="auto"/>
            </w:tcBorders>
          </w:tcPr>
          <w:p w14:paraId="79321A8E" w14:textId="77777777" w:rsidR="00A52878" w:rsidRPr="0060756D" w:rsidRDefault="00A52878" w:rsidP="00A52878">
            <w:pPr>
              <w:pStyle w:val="NoSpacing"/>
              <w:rPr>
                <w:rFonts w:ascii="Arial" w:hAnsi="Arial" w:cs="Arial"/>
              </w:rPr>
            </w:pPr>
            <w:r w:rsidRPr="0060756D">
              <w:rPr>
                <w:rFonts w:ascii="Arial" w:hAnsi="Arial" w:cs="Arial"/>
              </w:rPr>
              <w:t>Adults Services and Health and Wellbeing</w:t>
            </w:r>
          </w:p>
        </w:tc>
        <w:tc>
          <w:tcPr>
            <w:tcW w:w="802" w:type="dxa"/>
            <w:tcBorders>
              <w:top w:val="single" w:sz="4" w:space="0" w:color="auto"/>
              <w:left w:val="single" w:sz="4" w:space="0" w:color="auto"/>
              <w:bottom w:val="single" w:sz="4" w:space="0" w:color="auto"/>
              <w:right w:val="single" w:sz="4" w:space="0" w:color="auto"/>
            </w:tcBorders>
          </w:tcPr>
          <w:p w14:paraId="1231BB5D" w14:textId="77777777" w:rsidR="00A52878" w:rsidRPr="0060756D" w:rsidRDefault="00A52878" w:rsidP="00A52878">
            <w:pPr>
              <w:pStyle w:val="NoSpacing"/>
              <w:rPr>
                <w:rFonts w:ascii="Arial" w:hAnsi="Arial" w:cs="Arial"/>
              </w:rPr>
            </w:pPr>
            <w:r w:rsidRPr="0060756D">
              <w:rPr>
                <w:rFonts w:ascii="Arial" w:hAnsi="Arial" w:cs="Arial"/>
              </w:rPr>
              <w:t>High</w:t>
            </w:r>
          </w:p>
        </w:tc>
        <w:tc>
          <w:tcPr>
            <w:tcW w:w="103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EDA957" w14:textId="77777777" w:rsidR="00A52878" w:rsidRPr="0060756D" w:rsidRDefault="00A52878" w:rsidP="00A52878">
            <w:pPr>
              <w:pStyle w:val="NoSpacing"/>
              <w:jc w:val="center"/>
              <w:rPr>
                <w:rFonts w:ascii="Arial" w:hAnsi="Arial" w:cs="Arial"/>
              </w:rPr>
            </w:pPr>
            <w:r w:rsidRPr="0060756D">
              <w:rPr>
                <w:rFonts w:ascii="Arial" w:hAnsi="Arial" w:cs="Arial"/>
              </w:rPr>
              <w:t>82.1%</w:t>
            </w:r>
          </w:p>
        </w:tc>
        <w:tc>
          <w:tcPr>
            <w:tcW w:w="14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863E2D" w14:textId="77777777" w:rsidR="00A52878" w:rsidRPr="0060756D" w:rsidRDefault="00A52878" w:rsidP="00A52878">
            <w:pPr>
              <w:pStyle w:val="NoSpacing"/>
              <w:jc w:val="center"/>
              <w:rPr>
                <w:rFonts w:ascii="Arial" w:hAnsi="Arial" w:cs="Arial"/>
              </w:rPr>
            </w:pPr>
            <w:r w:rsidRPr="62385CB5">
              <w:rPr>
                <w:rFonts w:ascii="Arial" w:hAnsi="Arial" w:cs="Arial"/>
              </w:rPr>
              <w:t>83.0%</w:t>
            </w:r>
          </w:p>
        </w:tc>
        <w:tc>
          <w:tcPr>
            <w:tcW w:w="144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0C40CD" w14:textId="77777777" w:rsidR="00A52878" w:rsidRPr="0060756D" w:rsidRDefault="00A52878" w:rsidP="00A52878">
            <w:pPr>
              <w:pStyle w:val="NoSpacing"/>
              <w:jc w:val="center"/>
              <w:rPr>
                <w:rFonts w:ascii="Arial" w:hAnsi="Arial" w:cs="Arial"/>
              </w:rPr>
            </w:pPr>
            <w:r w:rsidRPr="62385CB5">
              <w:rPr>
                <w:rFonts w:ascii="Arial" w:hAnsi="Arial" w:cs="Arial"/>
              </w:rPr>
              <w:t>81.1%</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1EED70" w14:textId="77777777" w:rsidR="00A52878" w:rsidRPr="62385CB5" w:rsidRDefault="00A52878" w:rsidP="00A52878">
            <w:pPr>
              <w:pStyle w:val="NoSpacing"/>
              <w:jc w:val="center"/>
              <w:rPr>
                <w:rFonts w:ascii="Arial" w:hAnsi="Arial" w:cs="Arial"/>
              </w:rPr>
            </w:pPr>
            <w:r>
              <w:rPr>
                <w:rFonts w:ascii="Arial" w:hAnsi="Arial" w:cs="Arial"/>
              </w:rPr>
              <w:t>90.9%</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87A9EB" w14:textId="77777777" w:rsidR="00A52878" w:rsidRDefault="00A52878" w:rsidP="00A52878">
            <w:pPr>
              <w:pStyle w:val="NoSpacing"/>
              <w:jc w:val="center"/>
              <w:rPr>
                <w:rFonts w:ascii="Arial" w:hAnsi="Arial" w:cs="Arial"/>
              </w:rPr>
            </w:pPr>
            <w:r w:rsidRPr="114D10C4">
              <w:rPr>
                <w:rFonts w:ascii="Arial" w:hAnsi="Arial" w:cs="Arial"/>
              </w:rPr>
              <w:t>89.6%</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7A1B" w14:textId="77777777" w:rsidR="00A52878" w:rsidRPr="0060756D" w:rsidRDefault="00A52878" w:rsidP="00A52878">
            <w:pPr>
              <w:pStyle w:val="NoSpacing"/>
              <w:jc w:val="center"/>
              <w:rPr>
                <w:rFonts w:ascii="Arial" w:hAnsi="Arial" w:cs="Arial"/>
              </w:rPr>
            </w:pPr>
            <w:r w:rsidRPr="62385CB5">
              <w:rPr>
                <w:rFonts w:ascii="Arial" w:hAnsi="Arial" w:cs="Arial"/>
              </w:rPr>
              <w:t>86%</w:t>
            </w:r>
          </w:p>
        </w:tc>
      </w:tr>
      <w:tr w:rsidR="00C342D4" w14:paraId="2848F469" w14:textId="77777777" w:rsidTr="001D2D9F">
        <w:trPr>
          <w:trHeight w:val="666"/>
        </w:trPr>
        <w:tc>
          <w:tcPr>
            <w:tcW w:w="2710" w:type="dxa"/>
            <w:tcBorders>
              <w:top w:val="single" w:sz="4" w:space="0" w:color="auto"/>
              <w:left w:val="single" w:sz="4" w:space="0" w:color="auto"/>
              <w:bottom w:val="single" w:sz="4" w:space="0" w:color="auto"/>
              <w:right w:val="single" w:sz="4" w:space="0" w:color="auto"/>
            </w:tcBorders>
            <w:hideMark/>
          </w:tcPr>
          <w:p w14:paraId="678CBD96" w14:textId="77777777" w:rsidR="00A52878" w:rsidRPr="0060756D" w:rsidRDefault="00A52878" w:rsidP="00A52878">
            <w:pPr>
              <w:pStyle w:val="NoSpacing"/>
              <w:rPr>
                <w:rFonts w:ascii="Arial" w:hAnsi="Arial" w:cs="Arial"/>
              </w:rPr>
            </w:pPr>
            <w:r w:rsidRPr="62385CB5">
              <w:rPr>
                <w:rFonts w:ascii="Arial" w:hAnsi="Arial" w:cs="Arial"/>
              </w:rPr>
              <w:t>Proportion of adults and older people receiving long term services who are supported in the community</w:t>
            </w:r>
          </w:p>
        </w:tc>
        <w:tc>
          <w:tcPr>
            <w:tcW w:w="1466" w:type="dxa"/>
            <w:tcBorders>
              <w:top w:val="single" w:sz="4" w:space="0" w:color="auto"/>
              <w:left w:val="single" w:sz="4" w:space="0" w:color="auto"/>
              <w:bottom w:val="single" w:sz="4" w:space="0" w:color="auto"/>
              <w:right w:val="single" w:sz="4" w:space="0" w:color="auto"/>
            </w:tcBorders>
            <w:hideMark/>
          </w:tcPr>
          <w:p w14:paraId="1D520533" w14:textId="77777777" w:rsidR="00A52878" w:rsidRPr="0060756D" w:rsidRDefault="00A52878" w:rsidP="00A52878">
            <w:pPr>
              <w:pStyle w:val="NoSpacing"/>
              <w:rPr>
                <w:rFonts w:ascii="Arial" w:hAnsi="Arial" w:cs="Arial"/>
                <w:i/>
              </w:rPr>
            </w:pPr>
            <w:r w:rsidRPr="0060756D">
              <w:rPr>
                <w:rFonts w:ascii="Arial" w:hAnsi="Arial" w:cs="Arial"/>
              </w:rPr>
              <w:t>Quarterly</w:t>
            </w:r>
          </w:p>
        </w:tc>
        <w:tc>
          <w:tcPr>
            <w:tcW w:w="1438" w:type="dxa"/>
            <w:tcBorders>
              <w:top w:val="single" w:sz="4" w:space="0" w:color="auto"/>
              <w:left w:val="single" w:sz="4" w:space="0" w:color="auto"/>
              <w:bottom w:val="single" w:sz="4" w:space="0" w:color="auto"/>
              <w:right w:val="single" w:sz="4" w:space="0" w:color="auto"/>
            </w:tcBorders>
          </w:tcPr>
          <w:p w14:paraId="6E9E49F8" w14:textId="77777777" w:rsidR="00A52878" w:rsidRPr="0060756D" w:rsidRDefault="00A52878" w:rsidP="00A52878">
            <w:pPr>
              <w:pStyle w:val="NoSpacing"/>
              <w:rPr>
                <w:rFonts w:ascii="Arial" w:hAnsi="Arial" w:cs="Arial"/>
              </w:rPr>
            </w:pPr>
            <w:r w:rsidRPr="0060756D">
              <w:rPr>
                <w:rFonts w:ascii="Arial" w:hAnsi="Arial" w:cs="Arial"/>
              </w:rPr>
              <w:t>Adults Services and Health and Wellbeing</w:t>
            </w:r>
          </w:p>
        </w:tc>
        <w:tc>
          <w:tcPr>
            <w:tcW w:w="802" w:type="dxa"/>
            <w:tcBorders>
              <w:top w:val="single" w:sz="4" w:space="0" w:color="auto"/>
              <w:left w:val="single" w:sz="4" w:space="0" w:color="auto"/>
              <w:bottom w:val="single" w:sz="4" w:space="0" w:color="auto"/>
              <w:right w:val="single" w:sz="4" w:space="0" w:color="auto"/>
            </w:tcBorders>
          </w:tcPr>
          <w:p w14:paraId="4988A422" w14:textId="77777777" w:rsidR="00A52878" w:rsidRPr="0060756D" w:rsidRDefault="00A52878" w:rsidP="00A52878">
            <w:pPr>
              <w:pStyle w:val="NoSpacing"/>
              <w:rPr>
                <w:rFonts w:ascii="Arial" w:hAnsi="Arial" w:cs="Arial"/>
              </w:rPr>
            </w:pPr>
            <w:r w:rsidRPr="0060756D">
              <w:rPr>
                <w:rFonts w:ascii="Arial" w:hAnsi="Arial" w:cs="Arial"/>
              </w:rPr>
              <w:t>High</w:t>
            </w:r>
          </w:p>
        </w:tc>
        <w:tc>
          <w:tcPr>
            <w:tcW w:w="10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A0D7BB4" w14:textId="77777777" w:rsidR="00A52878" w:rsidRPr="0060756D" w:rsidRDefault="00A52878" w:rsidP="00A52878">
            <w:pPr>
              <w:pStyle w:val="NoSpacing"/>
              <w:jc w:val="center"/>
              <w:rPr>
                <w:rFonts w:ascii="Arial" w:hAnsi="Arial" w:cs="Arial"/>
              </w:rPr>
            </w:pPr>
            <w:r w:rsidRPr="0060756D">
              <w:rPr>
                <w:rFonts w:ascii="Arial" w:hAnsi="Arial" w:cs="Arial"/>
              </w:rPr>
              <w:t>69.7%</w:t>
            </w:r>
          </w:p>
        </w:tc>
        <w:tc>
          <w:tcPr>
            <w:tcW w:w="14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4F6995" w14:textId="77777777" w:rsidR="00A52878" w:rsidRPr="0060756D" w:rsidRDefault="00A52878" w:rsidP="00A52878">
            <w:pPr>
              <w:pStyle w:val="NoSpacing"/>
              <w:jc w:val="center"/>
              <w:rPr>
                <w:rFonts w:ascii="Arial" w:hAnsi="Arial" w:cs="Arial"/>
              </w:rPr>
            </w:pPr>
            <w:r w:rsidRPr="62385CB5">
              <w:rPr>
                <w:rFonts w:ascii="Arial" w:hAnsi="Arial" w:cs="Arial"/>
              </w:rPr>
              <w:t>72.3%</w:t>
            </w:r>
          </w:p>
        </w:tc>
        <w:tc>
          <w:tcPr>
            <w:tcW w:w="144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922DA8" w14:textId="77777777" w:rsidR="00A52878" w:rsidRPr="0060756D" w:rsidRDefault="00A52878" w:rsidP="00A52878">
            <w:pPr>
              <w:pStyle w:val="NoSpacing"/>
              <w:jc w:val="center"/>
              <w:rPr>
                <w:rFonts w:ascii="Arial" w:hAnsi="Arial" w:cs="Arial"/>
              </w:rPr>
            </w:pPr>
            <w:r w:rsidRPr="62385CB5">
              <w:rPr>
                <w:rFonts w:ascii="Arial" w:hAnsi="Arial" w:cs="Arial"/>
              </w:rPr>
              <w:t>71.5%</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EE462D" w14:textId="77777777" w:rsidR="00A52878" w:rsidRPr="62385CB5" w:rsidRDefault="00A52878" w:rsidP="00A52878">
            <w:pPr>
              <w:pStyle w:val="NoSpacing"/>
              <w:jc w:val="center"/>
              <w:rPr>
                <w:rFonts w:ascii="Arial" w:hAnsi="Arial" w:cs="Arial"/>
              </w:rPr>
            </w:pPr>
            <w:r>
              <w:rPr>
                <w:rFonts w:ascii="Arial" w:hAnsi="Arial" w:cs="Arial"/>
              </w:rPr>
              <w:t>71.7%</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6CC0B" w14:textId="77777777" w:rsidR="00A52878" w:rsidRDefault="00A52878" w:rsidP="00A52878">
            <w:pPr>
              <w:pStyle w:val="NoSpacing"/>
              <w:jc w:val="center"/>
              <w:rPr>
                <w:rFonts w:ascii="Arial" w:hAnsi="Arial" w:cs="Arial"/>
              </w:rPr>
            </w:pPr>
            <w:r w:rsidRPr="114D10C4">
              <w:rPr>
                <w:rFonts w:ascii="Arial" w:hAnsi="Arial" w:cs="Arial"/>
              </w:rPr>
              <w:t>71.8%</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9577" w14:textId="77777777" w:rsidR="00A52878" w:rsidRPr="0060756D" w:rsidRDefault="00A52878" w:rsidP="00A52878">
            <w:pPr>
              <w:pStyle w:val="NoSpacing"/>
              <w:jc w:val="center"/>
              <w:rPr>
                <w:rFonts w:ascii="Arial" w:hAnsi="Arial" w:cs="Arial"/>
              </w:rPr>
            </w:pPr>
            <w:r w:rsidRPr="62385CB5">
              <w:rPr>
                <w:rFonts w:ascii="Arial" w:hAnsi="Arial" w:cs="Arial"/>
              </w:rPr>
              <w:t>72%</w:t>
            </w:r>
          </w:p>
        </w:tc>
      </w:tr>
      <w:tr w:rsidR="00C342D4" w14:paraId="74B96AD3" w14:textId="77777777" w:rsidTr="001D2D9F">
        <w:trPr>
          <w:trHeight w:val="69"/>
        </w:trPr>
        <w:tc>
          <w:tcPr>
            <w:tcW w:w="2710" w:type="dxa"/>
            <w:tcBorders>
              <w:top w:val="single" w:sz="4" w:space="0" w:color="auto"/>
              <w:left w:val="single" w:sz="4" w:space="0" w:color="auto"/>
              <w:bottom w:val="single" w:sz="4" w:space="0" w:color="auto"/>
              <w:right w:val="single" w:sz="4" w:space="0" w:color="auto"/>
            </w:tcBorders>
            <w:hideMark/>
          </w:tcPr>
          <w:p w14:paraId="11D5357E" w14:textId="77777777" w:rsidR="00A52878" w:rsidRPr="0060756D" w:rsidRDefault="00A52878" w:rsidP="00A52878">
            <w:pPr>
              <w:pStyle w:val="NoSpacing"/>
              <w:rPr>
                <w:rFonts w:ascii="Arial" w:hAnsi="Arial" w:cs="Arial"/>
                <w:color w:val="000000"/>
              </w:rPr>
            </w:pPr>
            <w:r w:rsidRPr="0060756D">
              <w:rPr>
                <w:rFonts w:ascii="Arial" w:hAnsi="Arial" w:cs="Arial"/>
              </w:rPr>
              <w:t xml:space="preserve">Permanent admissions to residential and nursing care homes per 100,000 population aged 18-64 during the year </w:t>
            </w:r>
          </w:p>
        </w:tc>
        <w:tc>
          <w:tcPr>
            <w:tcW w:w="1466" w:type="dxa"/>
            <w:tcBorders>
              <w:top w:val="single" w:sz="4" w:space="0" w:color="auto"/>
              <w:left w:val="single" w:sz="4" w:space="0" w:color="auto"/>
              <w:bottom w:val="single" w:sz="4" w:space="0" w:color="auto"/>
              <w:right w:val="single" w:sz="4" w:space="0" w:color="auto"/>
            </w:tcBorders>
            <w:hideMark/>
          </w:tcPr>
          <w:p w14:paraId="3B71D1FB" w14:textId="77777777" w:rsidR="00A52878" w:rsidRPr="0060756D" w:rsidRDefault="00A52878" w:rsidP="00A52878">
            <w:pPr>
              <w:pStyle w:val="NoSpacing"/>
              <w:rPr>
                <w:rFonts w:ascii="Arial" w:hAnsi="Arial" w:cs="Arial"/>
              </w:rPr>
            </w:pPr>
            <w:r w:rsidRPr="0060756D">
              <w:rPr>
                <w:rFonts w:ascii="Arial" w:hAnsi="Arial" w:cs="Arial"/>
              </w:rPr>
              <w:t>Quarterly</w:t>
            </w:r>
          </w:p>
        </w:tc>
        <w:tc>
          <w:tcPr>
            <w:tcW w:w="1438" w:type="dxa"/>
            <w:tcBorders>
              <w:top w:val="single" w:sz="4" w:space="0" w:color="auto"/>
              <w:left w:val="single" w:sz="4" w:space="0" w:color="auto"/>
              <w:bottom w:val="single" w:sz="4" w:space="0" w:color="auto"/>
              <w:right w:val="single" w:sz="4" w:space="0" w:color="auto"/>
            </w:tcBorders>
          </w:tcPr>
          <w:p w14:paraId="18914E4C" w14:textId="77777777" w:rsidR="00A52878" w:rsidRPr="0060756D" w:rsidRDefault="00A52878" w:rsidP="00A52878">
            <w:pPr>
              <w:pStyle w:val="NoSpacing"/>
              <w:rPr>
                <w:rFonts w:ascii="Arial" w:hAnsi="Arial" w:cs="Arial"/>
              </w:rPr>
            </w:pPr>
            <w:r w:rsidRPr="0060756D">
              <w:rPr>
                <w:rFonts w:ascii="Arial" w:hAnsi="Arial" w:cs="Arial"/>
              </w:rPr>
              <w:t>Adults Services and Health and Wellbeing</w:t>
            </w:r>
          </w:p>
        </w:tc>
        <w:tc>
          <w:tcPr>
            <w:tcW w:w="802" w:type="dxa"/>
            <w:tcBorders>
              <w:top w:val="single" w:sz="4" w:space="0" w:color="auto"/>
              <w:left w:val="single" w:sz="4" w:space="0" w:color="auto"/>
              <w:bottom w:val="single" w:sz="4" w:space="0" w:color="auto"/>
              <w:right w:val="single" w:sz="4" w:space="0" w:color="auto"/>
            </w:tcBorders>
          </w:tcPr>
          <w:p w14:paraId="1975715C" w14:textId="77777777" w:rsidR="00A52878" w:rsidRPr="0060756D" w:rsidRDefault="00A52878" w:rsidP="00A52878">
            <w:pPr>
              <w:pStyle w:val="NoSpacing"/>
              <w:rPr>
                <w:rFonts w:ascii="Arial" w:hAnsi="Arial" w:cs="Arial"/>
              </w:rPr>
            </w:pPr>
            <w:r w:rsidRPr="0060756D">
              <w:rPr>
                <w:rFonts w:ascii="Arial" w:hAnsi="Arial" w:cs="Arial"/>
              </w:rPr>
              <w:t>Low</w:t>
            </w:r>
          </w:p>
        </w:tc>
        <w:tc>
          <w:tcPr>
            <w:tcW w:w="10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8A8F4B" w14:textId="77777777" w:rsidR="00A52878" w:rsidRPr="0060756D" w:rsidRDefault="00A52878" w:rsidP="00A52878">
            <w:pPr>
              <w:pStyle w:val="NoSpacing"/>
              <w:jc w:val="center"/>
              <w:rPr>
                <w:rFonts w:ascii="Arial" w:hAnsi="Arial" w:cs="Arial"/>
              </w:rPr>
            </w:pPr>
            <w:r w:rsidRPr="0060756D">
              <w:rPr>
                <w:rFonts w:ascii="Arial" w:hAnsi="Arial" w:cs="Arial"/>
              </w:rPr>
              <w:t>15.2</w:t>
            </w:r>
          </w:p>
        </w:tc>
        <w:tc>
          <w:tcPr>
            <w:tcW w:w="14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A804EA" w14:textId="77777777" w:rsidR="00A52878" w:rsidRPr="0060756D" w:rsidRDefault="00A52878" w:rsidP="00A52878">
            <w:pPr>
              <w:pStyle w:val="NoSpacing"/>
              <w:jc w:val="center"/>
              <w:rPr>
                <w:rFonts w:ascii="Arial" w:hAnsi="Arial" w:cs="Arial"/>
              </w:rPr>
            </w:pPr>
            <w:r w:rsidRPr="62385CB5">
              <w:rPr>
                <w:rFonts w:ascii="Arial" w:hAnsi="Arial" w:cs="Arial"/>
              </w:rPr>
              <w:t>12.2</w:t>
            </w:r>
          </w:p>
        </w:tc>
        <w:tc>
          <w:tcPr>
            <w:tcW w:w="144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D16896" w14:textId="77777777" w:rsidR="00A52878" w:rsidRPr="0060756D" w:rsidRDefault="00A52878" w:rsidP="00A52878">
            <w:pPr>
              <w:pStyle w:val="NoSpacing"/>
              <w:jc w:val="center"/>
              <w:rPr>
                <w:rFonts w:ascii="Arial" w:hAnsi="Arial" w:cs="Arial"/>
              </w:rPr>
            </w:pPr>
            <w:r w:rsidRPr="62385CB5">
              <w:rPr>
                <w:rFonts w:ascii="Arial" w:hAnsi="Arial" w:cs="Arial"/>
              </w:rPr>
              <w:t>13.3</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FA62BB1" w14:textId="77777777" w:rsidR="00A52878" w:rsidRPr="62385CB5" w:rsidRDefault="00A52878" w:rsidP="00A52878">
            <w:pPr>
              <w:pStyle w:val="NoSpacing"/>
              <w:jc w:val="center"/>
              <w:rPr>
                <w:rFonts w:ascii="Arial" w:hAnsi="Arial" w:cs="Arial"/>
              </w:rPr>
            </w:pPr>
            <w:r>
              <w:rPr>
                <w:rFonts w:ascii="Arial" w:hAnsi="Arial" w:cs="Arial"/>
              </w:rPr>
              <w:t>13.3</w:t>
            </w:r>
          </w:p>
        </w:tc>
        <w:tc>
          <w:tcPr>
            <w:tcW w:w="1159" w:type="dxa"/>
            <w:tcBorders>
              <w:top w:val="single" w:sz="4" w:space="0" w:color="auto"/>
              <w:left w:val="single" w:sz="4" w:space="0" w:color="auto"/>
              <w:bottom w:val="single" w:sz="4" w:space="0" w:color="auto"/>
              <w:right w:val="single" w:sz="4" w:space="0" w:color="auto"/>
            </w:tcBorders>
            <w:shd w:val="clear" w:color="auto" w:fill="FF0000"/>
          </w:tcPr>
          <w:p w14:paraId="04E7000B" w14:textId="77777777" w:rsidR="00A52878" w:rsidRDefault="00A52878" w:rsidP="00A52878">
            <w:pPr>
              <w:pStyle w:val="NoSpacing"/>
              <w:jc w:val="center"/>
              <w:rPr>
                <w:rFonts w:ascii="Arial" w:hAnsi="Arial" w:cs="Arial"/>
              </w:rPr>
            </w:pPr>
            <w:r w:rsidRPr="005B62DD">
              <w:rPr>
                <w:rFonts w:ascii="Arial" w:hAnsi="Arial" w:cs="Arial"/>
                <w:color w:val="FFFFFF" w:themeColor="background1"/>
              </w:rPr>
              <w:t>16.9</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2CF95833" w14:textId="77777777" w:rsidR="00A52878" w:rsidRPr="0060756D" w:rsidRDefault="00A52878" w:rsidP="00A52878">
            <w:pPr>
              <w:pStyle w:val="NoSpacing"/>
              <w:jc w:val="center"/>
              <w:rPr>
                <w:rFonts w:ascii="Arial" w:hAnsi="Arial" w:cs="Arial"/>
              </w:rPr>
            </w:pPr>
            <w:r w:rsidRPr="62385CB5">
              <w:rPr>
                <w:rFonts w:ascii="Arial" w:hAnsi="Arial" w:cs="Arial"/>
              </w:rPr>
              <w:t>13.6</w:t>
            </w:r>
          </w:p>
        </w:tc>
      </w:tr>
      <w:tr w:rsidR="00C342D4" w14:paraId="69D35E3B" w14:textId="77777777" w:rsidTr="001D2D9F">
        <w:trPr>
          <w:trHeight w:val="1251"/>
        </w:trPr>
        <w:tc>
          <w:tcPr>
            <w:tcW w:w="2710" w:type="dxa"/>
            <w:tcBorders>
              <w:top w:val="single" w:sz="4" w:space="0" w:color="auto"/>
              <w:left w:val="single" w:sz="4" w:space="0" w:color="auto"/>
              <w:bottom w:val="single" w:sz="4" w:space="0" w:color="auto"/>
              <w:right w:val="single" w:sz="4" w:space="0" w:color="auto"/>
            </w:tcBorders>
            <w:hideMark/>
          </w:tcPr>
          <w:p w14:paraId="084419BD" w14:textId="77777777" w:rsidR="00A52878" w:rsidRPr="0060756D" w:rsidRDefault="00A52878" w:rsidP="00A52878">
            <w:pPr>
              <w:pStyle w:val="NoSpacing"/>
              <w:rPr>
                <w:rFonts w:ascii="Arial" w:hAnsi="Arial" w:cs="Arial"/>
                <w:b/>
              </w:rPr>
            </w:pPr>
            <w:r w:rsidRPr="0060756D">
              <w:rPr>
                <w:rFonts w:ascii="Arial" w:hAnsi="Arial" w:cs="Arial"/>
              </w:rPr>
              <w:t>Permanent admissions to residential and nursing care homes per 100,000 population aged 65+ during the year</w:t>
            </w:r>
          </w:p>
        </w:tc>
        <w:tc>
          <w:tcPr>
            <w:tcW w:w="1466" w:type="dxa"/>
            <w:tcBorders>
              <w:top w:val="single" w:sz="4" w:space="0" w:color="auto"/>
              <w:left w:val="single" w:sz="4" w:space="0" w:color="auto"/>
              <w:bottom w:val="single" w:sz="4" w:space="0" w:color="auto"/>
              <w:right w:val="single" w:sz="4" w:space="0" w:color="auto"/>
            </w:tcBorders>
            <w:hideMark/>
          </w:tcPr>
          <w:p w14:paraId="379C2F84" w14:textId="77777777" w:rsidR="00A52878" w:rsidRPr="0060756D" w:rsidRDefault="00A52878" w:rsidP="00A52878">
            <w:pPr>
              <w:pStyle w:val="NoSpacing"/>
              <w:rPr>
                <w:rFonts w:ascii="Arial" w:hAnsi="Arial" w:cs="Arial"/>
                <w:i/>
              </w:rPr>
            </w:pPr>
            <w:r w:rsidRPr="0060756D">
              <w:rPr>
                <w:rFonts w:ascii="Arial" w:hAnsi="Arial" w:cs="Arial"/>
              </w:rPr>
              <w:t>Quarterly</w:t>
            </w:r>
          </w:p>
        </w:tc>
        <w:tc>
          <w:tcPr>
            <w:tcW w:w="1438" w:type="dxa"/>
            <w:tcBorders>
              <w:top w:val="single" w:sz="4" w:space="0" w:color="auto"/>
              <w:left w:val="single" w:sz="4" w:space="0" w:color="auto"/>
              <w:bottom w:val="single" w:sz="4" w:space="0" w:color="auto"/>
              <w:right w:val="single" w:sz="4" w:space="0" w:color="auto"/>
            </w:tcBorders>
          </w:tcPr>
          <w:p w14:paraId="7DD7BC35" w14:textId="77777777" w:rsidR="00A52878" w:rsidRPr="0060756D" w:rsidRDefault="00A52878" w:rsidP="00A52878">
            <w:pPr>
              <w:pStyle w:val="NoSpacing"/>
              <w:rPr>
                <w:rFonts w:ascii="Arial" w:hAnsi="Arial" w:cs="Arial"/>
              </w:rPr>
            </w:pPr>
            <w:r w:rsidRPr="0060756D">
              <w:rPr>
                <w:rFonts w:ascii="Arial" w:hAnsi="Arial" w:cs="Arial"/>
              </w:rPr>
              <w:t>Adults Services and Health and Wellbeing</w:t>
            </w:r>
          </w:p>
        </w:tc>
        <w:tc>
          <w:tcPr>
            <w:tcW w:w="802" w:type="dxa"/>
            <w:tcBorders>
              <w:top w:val="single" w:sz="4" w:space="0" w:color="auto"/>
              <w:left w:val="single" w:sz="4" w:space="0" w:color="auto"/>
              <w:bottom w:val="single" w:sz="4" w:space="0" w:color="auto"/>
              <w:right w:val="single" w:sz="4" w:space="0" w:color="auto"/>
            </w:tcBorders>
          </w:tcPr>
          <w:p w14:paraId="585C349D" w14:textId="77777777" w:rsidR="00A52878" w:rsidRPr="0060756D" w:rsidRDefault="00A52878" w:rsidP="00A52878">
            <w:pPr>
              <w:pStyle w:val="NoSpacing"/>
              <w:rPr>
                <w:rFonts w:ascii="Arial" w:hAnsi="Arial" w:cs="Arial"/>
              </w:rPr>
            </w:pPr>
            <w:r w:rsidRPr="0060756D">
              <w:rPr>
                <w:rFonts w:ascii="Arial" w:hAnsi="Arial" w:cs="Arial"/>
              </w:rPr>
              <w:t>Low</w:t>
            </w:r>
          </w:p>
        </w:tc>
        <w:tc>
          <w:tcPr>
            <w:tcW w:w="1037" w:type="dxa"/>
            <w:tcBorders>
              <w:top w:val="single" w:sz="4" w:space="0" w:color="auto"/>
              <w:left w:val="single" w:sz="4" w:space="0" w:color="auto"/>
              <w:bottom w:val="single" w:sz="4" w:space="0" w:color="auto"/>
              <w:right w:val="single" w:sz="4" w:space="0" w:color="auto"/>
            </w:tcBorders>
            <w:shd w:val="clear" w:color="auto" w:fill="FF0000"/>
          </w:tcPr>
          <w:p w14:paraId="645B5282" w14:textId="77777777" w:rsidR="00A52878" w:rsidRPr="0060756D" w:rsidRDefault="00A52878" w:rsidP="00A52878">
            <w:pPr>
              <w:pStyle w:val="NoSpacing"/>
              <w:jc w:val="center"/>
              <w:rPr>
                <w:rFonts w:ascii="Arial" w:hAnsi="Arial" w:cs="Arial"/>
              </w:rPr>
            </w:pPr>
            <w:r w:rsidRPr="005B62DD">
              <w:rPr>
                <w:rFonts w:ascii="Arial" w:hAnsi="Arial" w:cs="Arial"/>
                <w:color w:val="FFFFFF" w:themeColor="background1"/>
              </w:rPr>
              <w:t>672.6</w:t>
            </w:r>
          </w:p>
        </w:tc>
        <w:tc>
          <w:tcPr>
            <w:tcW w:w="14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93F83" w14:textId="77777777" w:rsidR="00A52878" w:rsidRPr="0060756D" w:rsidRDefault="00A52878" w:rsidP="00A52878">
            <w:pPr>
              <w:pStyle w:val="NoSpacing"/>
              <w:jc w:val="center"/>
              <w:rPr>
                <w:rFonts w:ascii="Arial" w:hAnsi="Arial" w:cs="Arial"/>
              </w:rPr>
            </w:pPr>
            <w:r w:rsidRPr="62385CB5">
              <w:rPr>
                <w:rFonts w:ascii="Arial" w:hAnsi="Arial" w:cs="Arial"/>
              </w:rPr>
              <w:t>482.2</w:t>
            </w:r>
          </w:p>
        </w:tc>
        <w:tc>
          <w:tcPr>
            <w:tcW w:w="144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C8648DA" w14:textId="77777777" w:rsidR="00A52878" w:rsidRPr="0060756D" w:rsidRDefault="00A52878" w:rsidP="00A52878">
            <w:pPr>
              <w:pStyle w:val="NoSpacing"/>
              <w:jc w:val="center"/>
              <w:rPr>
                <w:rFonts w:ascii="Arial" w:hAnsi="Arial" w:cs="Arial"/>
              </w:rPr>
            </w:pPr>
            <w:r w:rsidRPr="62385CB5">
              <w:rPr>
                <w:rFonts w:ascii="Arial" w:hAnsi="Arial" w:cs="Arial"/>
              </w:rPr>
              <w:t>589.6</w:t>
            </w:r>
          </w:p>
        </w:tc>
        <w:tc>
          <w:tcPr>
            <w:tcW w:w="11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6A598E1" w14:textId="77777777" w:rsidR="00A52878" w:rsidRPr="62385CB5" w:rsidRDefault="00A52878" w:rsidP="00A52878">
            <w:pPr>
              <w:pStyle w:val="NoSpacing"/>
              <w:jc w:val="center"/>
              <w:rPr>
                <w:rFonts w:ascii="Arial" w:hAnsi="Arial" w:cs="Arial"/>
              </w:rPr>
            </w:pPr>
            <w:r>
              <w:rPr>
                <w:rFonts w:ascii="Arial" w:hAnsi="Arial" w:cs="Arial"/>
              </w:rPr>
              <w:t>662.2</w:t>
            </w:r>
          </w:p>
        </w:tc>
        <w:tc>
          <w:tcPr>
            <w:tcW w:w="1159" w:type="dxa"/>
            <w:tcBorders>
              <w:top w:val="single" w:sz="4" w:space="0" w:color="auto"/>
              <w:left w:val="single" w:sz="4" w:space="0" w:color="auto"/>
              <w:bottom w:val="single" w:sz="4" w:space="0" w:color="auto"/>
              <w:right w:val="single" w:sz="4" w:space="0" w:color="auto"/>
            </w:tcBorders>
            <w:shd w:val="clear" w:color="auto" w:fill="FF0000"/>
          </w:tcPr>
          <w:p w14:paraId="09E6C6BC" w14:textId="77777777" w:rsidR="00A52878" w:rsidRDefault="00A52878" w:rsidP="00A52878">
            <w:pPr>
              <w:pStyle w:val="NoSpacing"/>
              <w:jc w:val="center"/>
              <w:rPr>
                <w:rFonts w:ascii="Arial" w:hAnsi="Arial" w:cs="Arial"/>
              </w:rPr>
            </w:pPr>
            <w:r w:rsidRPr="005B62DD">
              <w:rPr>
                <w:rFonts w:ascii="Arial" w:hAnsi="Arial" w:cs="Arial"/>
                <w:color w:val="FFFFFF" w:themeColor="background1"/>
              </w:rPr>
              <w:t>736.2</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7562C959" w14:textId="77777777" w:rsidR="00A52878" w:rsidRPr="0060756D" w:rsidRDefault="00A52878" w:rsidP="00A52878">
            <w:pPr>
              <w:pStyle w:val="NoSpacing"/>
              <w:jc w:val="center"/>
              <w:rPr>
                <w:rFonts w:ascii="Arial" w:hAnsi="Arial" w:cs="Arial"/>
              </w:rPr>
            </w:pPr>
            <w:r>
              <w:rPr>
                <w:rFonts w:ascii="Arial" w:hAnsi="Arial" w:cs="Arial"/>
              </w:rPr>
              <w:t>600-680</w:t>
            </w:r>
          </w:p>
        </w:tc>
      </w:tr>
    </w:tbl>
    <w:p w14:paraId="6CD2E3DC" w14:textId="77777777" w:rsidR="00930B30" w:rsidRPr="0060756D" w:rsidRDefault="00930B30" w:rsidP="00930B30">
      <w:pPr>
        <w:pStyle w:val="NoSpacing"/>
        <w:jc w:val="both"/>
        <w:rPr>
          <w:rFonts w:ascii="Arial" w:hAnsi="Arial" w:cs="Helvetica-Light"/>
          <w:color w:val="000000"/>
          <w:sz w:val="24"/>
          <w:szCs w:val="24"/>
          <w:lang w:eastAsia="en-GB"/>
        </w:rPr>
      </w:pPr>
    </w:p>
    <w:p w14:paraId="717C545F" w14:textId="6C7D5E1C" w:rsidR="00930B30" w:rsidRPr="000720BA" w:rsidRDefault="00930B30" w:rsidP="00930B30">
      <w:pPr>
        <w:rPr>
          <w:rFonts w:eastAsia="Arial" w:cs="Arial"/>
        </w:rPr>
      </w:pPr>
      <w:r w:rsidRPr="114D10C4">
        <w:rPr>
          <w:rFonts w:cs="Arial"/>
          <w:b/>
          <w:bCs/>
        </w:rPr>
        <w:t>Percentage of older people (65 and over) who were still at home 91 days after discharge from hospital into reablement/rehabilitation services</w:t>
      </w:r>
      <w:r w:rsidRPr="114D10C4">
        <w:rPr>
          <w:rFonts w:cs="Arial"/>
        </w:rPr>
        <w:t xml:space="preserve">. </w:t>
      </w:r>
      <w:r w:rsidRPr="000720BA">
        <w:rPr>
          <w:rFonts w:eastAsia="Arial" w:cs="Arial"/>
        </w:rPr>
        <w:t xml:space="preserve">The </w:t>
      </w:r>
      <w:r w:rsidR="00313EF6">
        <w:rPr>
          <w:rFonts w:eastAsia="Arial" w:cs="Arial"/>
        </w:rPr>
        <w:t>proportion</w:t>
      </w:r>
      <w:r w:rsidRPr="000720BA">
        <w:rPr>
          <w:rFonts w:eastAsia="Arial" w:cs="Arial"/>
        </w:rPr>
        <w:t xml:space="preserve"> of older people who are still at home 91 days after discharge </w:t>
      </w:r>
      <w:r w:rsidR="00587798">
        <w:rPr>
          <w:rFonts w:eastAsia="Arial" w:cs="Arial"/>
        </w:rPr>
        <w:t xml:space="preserve">from hospital </w:t>
      </w:r>
      <w:r w:rsidRPr="000720BA">
        <w:rPr>
          <w:rFonts w:eastAsia="Arial" w:cs="Arial"/>
        </w:rPr>
        <w:t xml:space="preserve">is currently at 87.4% and performing above target along with regional </w:t>
      </w:r>
      <w:r w:rsidR="00771A9D">
        <w:rPr>
          <w:rFonts w:eastAsia="Arial" w:cs="Arial"/>
        </w:rPr>
        <w:t xml:space="preserve">(79.9%) </w:t>
      </w:r>
      <w:r w:rsidRPr="000720BA">
        <w:rPr>
          <w:rFonts w:eastAsia="Arial" w:cs="Arial"/>
        </w:rPr>
        <w:t>and national average</w:t>
      </w:r>
      <w:r w:rsidR="009D06BB">
        <w:rPr>
          <w:rFonts w:eastAsia="Arial" w:cs="Arial"/>
        </w:rPr>
        <w:t xml:space="preserve"> (79.1%)</w:t>
      </w:r>
      <w:r w:rsidRPr="000720BA">
        <w:rPr>
          <w:rFonts w:eastAsia="Arial" w:cs="Arial"/>
        </w:rPr>
        <w:t>.</w:t>
      </w:r>
    </w:p>
    <w:p w14:paraId="49BDBE9E" w14:textId="77777777" w:rsidR="00930B30" w:rsidRPr="000720BA" w:rsidRDefault="00930B30" w:rsidP="00930B30">
      <w:pPr>
        <w:rPr>
          <w:rFonts w:cs="Arial"/>
        </w:rPr>
      </w:pPr>
      <w:r w:rsidRPr="000720BA">
        <w:rPr>
          <w:rFonts w:eastAsia="Arial" w:cs="Arial"/>
          <w:color w:val="000000" w:themeColor="text1"/>
        </w:rPr>
        <w:t>As a council we have significant working relationships with 5 main hospital trusts spread over 8 sites and those arrangements continued throughout the last year including the hospital discharge arrangements during the pandemic.  Ease and timeliness of data capture varied between hospitals and there were often considerable time lags between discharges organised by the NHS occurring and the data being shared with the council to enable assessments to</w:t>
      </w:r>
      <w:r w:rsidRPr="000720BA">
        <w:rPr>
          <w:rFonts w:cs="Arial"/>
        </w:rPr>
        <w:t xml:space="preserve"> occur. </w:t>
      </w:r>
    </w:p>
    <w:p w14:paraId="0F4681DA" w14:textId="77777777" w:rsidR="00930B30" w:rsidRDefault="00930B30" w:rsidP="00930B30">
      <w:pPr>
        <w:pStyle w:val="NoSpacing"/>
        <w:rPr>
          <w:rFonts w:ascii="Arial" w:hAnsi="Arial" w:cs="Arial"/>
        </w:rPr>
      </w:pPr>
    </w:p>
    <w:p w14:paraId="1EF0427E" w14:textId="77777777" w:rsidR="00930B30" w:rsidRPr="0097735E" w:rsidRDefault="00930B30" w:rsidP="00930B30">
      <w:pPr>
        <w:pStyle w:val="NoSpacing"/>
        <w:rPr>
          <w:rFonts w:ascii="Arial" w:hAnsi="Arial" w:cs="Arial"/>
          <w:b/>
          <w:bCs/>
          <w:sz w:val="24"/>
          <w:szCs w:val="24"/>
        </w:rPr>
      </w:pPr>
      <w:r w:rsidRPr="0097735E">
        <w:rPr>
          <w:rFonts w:ascii="Arial" w:hAnsi="Arial" w:cs="Arial"/>
          <w:b/>
          <w:bCs/>
          <w:sz w:val="24"/>
          <w:szCs w:val="24"/>
        </w:rPr>
        <w:t>Proportion of adults with learning disabilities who live in their own home</w:t>
      </w:r>
    </w:p>
    <w:p w14:paraId="02339B64" w14:textId="157C75E3" w:rsidR="00930B30" w:rsidRPr="000720BA" w:rsidRDefault="00930B30" w:rsidP="00930B30">
      <w:pPr>
        <w:rPr>
          <w:rFonts w:ascii="Calibri" w:eastAsiaTheme="minorEastAsia" w:hAnsi="Calibri" w:cs="Calibri"/>
          <w:color w:val="auto"/>
        </w:rPr>
      </w:pPr>
      <w:r w:rsidRPr="000720BA">
        <w:rPr>
          <w:color w:val="auto"/>
        </w:rPr>
        <w:t xml:space="preserve">Current performance is above target for the year and significantly above the national average of </w:t>
      </w:r>
      <w:r w:rsidR="00CD4E26">
        <w:rPr>
          <w:color w:val="auto"/>
        </w:rPr>
        <w:t>77</w:t>
      </w:r>
      <w:r w:rsidRPr="000720BA">
        <w:rPr>
          <w:color w:val="auto"/>
        </w:rPr>
        <w:t>.</w:t>
      </w:r>
      <w:r w:rsidR="007B59C0">
        <w:rPr>
          <w:color w:val="auto"/>
        </w:rPr>
        <w:t>3</w:t>
      </w:r>
      <w:r w:rsidRPr="000720BA">
        <w:rPr>
          <w:color w:val="auto"/>
        </w:rPr>
        <w:t xml:space="preserve">%. The reported reduction in performance for quarter 1 initiated a deep dive of the quality of our data recorded in our client database, as the trend did not appear to be representative of what was happening in Lancashire. This data cleansing exercise revealed a significant number of service users where the required information had not been recorded. Performance reflects Lancashire County Council's commitment to ensuring that people who have a learning disability and/or autism are supported to live as independently as possible. Work has been undertaken to offer people a supported living option where possible and placement in residential care is not the preferred model of support. </w:t>
      </w:r>
    </w:p>
    <w:p w14:paraId="10DD06F9" w14:textId="4E4399AB" w:rsidR="00930B30" w:rsidRPr="000720BA" w:rsidRDefault="00930B30" w:rsidP="00930B30">
      <w:pPr>
        <w:pStyle w:val="NoSpacing"/>
        <w:jc w:val="both"/>
        <w:rPr>
          <w:rFonts w:ascii="Arial" w:hAnsi="Arial" w:cs="Arial"/>
          <w:sz w:val="24"/>
          <w:szCs w:val="24"/>
        </w:rPr>
      </w:pPr>
      <w:r w:rsidRPr="114D10C4">
        <w:rPr>
          <w:rFonts w:ascii="Arial" w:hAnsi="Arial" w:cs="Arial"/>
          <w:b/>
          <w:bCs/>
          <w:sz w:val="24"/>
          <w:szCs w:val="24"/>
        </w:rPr>
        <w:t>Proportion of adults and older people receiving long term services who are supported in the community</w:t>
      </w:r>
      <w:r w:rsidRPr="114D10C4">
        <w:rPr>
          <w:rFonts w:ascii="Arial" w:hAnsi="Arial" w:cs="Arial"/>
          <w:sz w:val="24"/>
          <w:szCs w:val="24"/>
        </w:rPr>
        <w:t xml:space="preserve">. </w:t>
      </w:r>
      <w:r w:rsidRPr="000720BA">
        <w:rPr>
          <w:rFonts w:ascii="Arial" w:eastAsia="Arial" w:hAnsi="Arial" w:cs="Arial"/>
          <w:color w:val="000000" w:themeColor="text1"/>
          <w:sz w:val="24"/>
          <w:szCs w:val="24"/>
        </w:rPr>
        <w:t xml:space="preserve">The proportion of people receiving long term services supported in the community is just under target at quarter 3. The pandemic reduced the number of people admitted to residential care, but as measures are starting to relax this is impacting those supported in the community as more are returning to a residential </w:t>
      </w:r>
      <w:r w:rsidR="00EF1757">
        <w:rPr>
          <w:rFonts w:ascii="Arial" w:eastAsia="Arial" w:hAnsi="Arial" w:cs="Arial"/>
          <w:color w:val="000000" w:themeColor="text1"/>
          <w:sz w:val="24"/>
          <w:szCs w:val="24"/>
        </w:rPr>
        <w:t>s</w:t>
      </w:r>
      <w:r w:rsidRPr="000720BA">
        <w:rPr>
          <w:rFonts w:ascii="Arial" w:eastAsia="Arial" w:hAnsi="Arial" w:cs="Arial"/>
          <w:color w:val="000000" w:themeColor="text1"/>
          <w:sz w:val="24"/>
          <w:szCs w:val="24"/>
        </w:rPr>
        <w:t>etting</w:t>
      </w:r>
      <w:r w:rsidRPr="000720BA">
        <w:rPr>
          <w:rFonts w:ascii="Arial" w:hAnsi="Arial" w:cs="Arial"/>
          <w:sz w:val="24"/>
          <w:szCs w:val="24"/>
        </w:rPr>
        <w:t>.</w:t>
      </w:r>
    </w:p>
    <w:p w14:paraId="0A61486B" w14:textId="77777777" w:rsidR="00930B30" w:rsidRPr="00CD372D" w:rsidRDefault="00930B30" w:rsidP="00930B30">
      <w:pPr>
        <w:pStyle w:val="NoSpacing"/>
        <w:rPr>
          <w:rFonts w:ascii="Arial" w:hAnsi="Arial" w:cs="Arial"/>
          <w:highlight w:val="yellow"/>
        </w:rPr>
      </w:pPr>
    </w:p>
    <w:p w14:paraId="5123DFB3" w14:textId="195368F9" w:rsidR="00930B30" w:rsidRPr="000720BA" w:rsidRDefault="00930B30" w:rsidP="00930B30">
      <w:pPr>
        <w:rPr>
          <w:rFonts w:eastAsia="Arial" w:cs="Arial"/>
        </w:rPr>
      </w:pPr>
      <w:r w:rsidRPr="114D10C4">
        <w:rPr>
          <w:rFonts w:cs="Arial"/>
          <w:b/>
          <w:bCs/>
        </w:rPr>
        <w:t>Permanent admissions to residential and nursing care homes per 100,000 population aged 18-64 during the year</w:t>
      </w:r>
      <w:r w:rsidRPr="114D10C4">
        <w:rPr>
          <w:rFonts w:cs="Arial"/>
        </w:rPr>
        <w:t xml:space="preserve">. </w:t>
      </w:r>
      <w:r w:rsidR="00C635D2">
        <w:rPr>
          <w:rFonts w:cs="Arial"/>
        </w:rPr>
        <w:t xml:space="preserve"> 122 people aged 18-64 were admitted to residential care during the 12 months to 31</w:t>
      </w:r>
      <w:r w:rsidR="00C635D2" w:rsidRPr="00C635D2">
        <w:rPr>
          <w:rFonts w:cs="Arial"/>
          <w:vertAlign w:val="superscript"/>
        </w:rPr>
        <w:t>st</w:t>
      </w:r>
      <w:r w:rsidR="00C635D2">
        <w:rPr>
          <w:rFonts w:cs="Arial"/>
        </w:rPr>
        <w:t xml:space="preserve"> December 2021</w:t>
      </w:r>
      <w:r w:rsidR="001D663B">
        <w:rPr>
          <w:rFonts w:cs="Arial"/>
        </w:rPr>
        <w:t xml:space="preserve"> resulting in a rate of 16.9 per 100,000 population</w:t>
      </w:r>
      <w:r w:rsidR="00637931">
        <w:rPr>
          <w:rFonts w:cs="Arial"/>
        </w:rPr>
        <w:t>. This is above the</w:t>
      </w:r>
      <w:r w:rsidRPr="000720BA">
        <w:rPr>
          <w:rFonts w:eastAsia="Arial" w:cs="Arial"/>
        </w:rPr>
        <w:t xml:space="preserve"> current England average of 14.6</w:t>
      </w:r>
      <w:r w:rsidR="00943BBE">
        <w:rPr>
          <w:rFonts w:eastAsia="Arial" w:cs="Arial"/>
        </w:rPr>
        <w:t xml:space="preserve"> per 100,000 population</w:t>
      </w:r>
      <w:r w:rsidRPr="000720BA">
        <w:rPr>
          <w:rFonts w:eastAsia="Arial" w:cs="Arial"/>
        </w:rPr>
        <w:t>.  This continues to be monitored to understand the impact that the pandemic has on this performance measure.</w:t>
      </w:r>
    </w:p>
    <w:p w14:paraId="6849C405" w14:textId="77777777" w:rsidR="00930B30" w:rsidRPr="00CD372D" w:rsidRDefault="00930B30" w:rsidP="00930B30">
      <w:pPr>
        <w:pStyle w:val="NoSpacing"/>
        <w:jc w:val="both"/>
        <w:rPr>
          <w:rFonts w:ascii="Arial" w:hAnsi="Arial" w:cs="Arial"/>
          <w:sz w:val="24"/>
          <w:szCs w:val="24"/>
        </w:rPr>
      </w:pPr>
      <w:r w:rsidRPr="114D10C4">
        <w:rPr>
          <w:rFonts w:ascii="Arial" w:hAnsi="Arial" w:cs="Arial"/>
          <w:sz w:val="24"/>
          <w:szCs w:val="24"/>
        </w:rPr>
        <w:t xml:space="preserve">  </w:t>
      </w:r>
    </w:p>
    <w:p w14:paraId="4C5F449F" w14:textId="77777777" w:rsidR="00595387" w:rsidRDefault="00930B30" w:rsidP="00930B30">
      <w:pPr>
        <w:rPr>
          <w:rFonts w:eastAsia="Arial" w:cs="Arial"/>
        </w:rPr>
      </w:pPr>
      <w:r w:rsidRPr="114D10C4">
        <w:rPr>
          <w:rFonts w:eastAsia="Arial" w:cs="Arial"/>
          <w:b/>
          <w:bCs/>
        </w:rPr>
        <w:t>Permanent admissions to residential and nursing care homes per 100,000 population aged 65+ during the year</w:t>
      </w:r>
      <w:r w:rsidRPr="114D10C4">
        <w:rPr>
          <w:rFonts w:eastAsia="Arial" w:cs="Arial"/>
        </w:rPr>
        <w:t xml:space="preserve">. </w:t>
      </w:r>
    </w:p>
    <w:p w14:paraId="73166C3E" w14:textId="77AAF146" w:rsidR="00595387" w:rsidRPr="009B19E9" w:rsidRDefault="00595387" w:rsidP="00595387">
      <w:r w:rsidRPr="009B19E9">
        <w:rPr>
          <w:rFonts w:eastAsia="Arial" w:cs="Arial"/>
        </w:rPr>
        <w:t>The number of older adults being admitted to a residential /nursing setting has increased significantly over the third</w:t>
      </w:r>
      <w:r w:rsidRPr="009B19E9">
        <w:rPr>
          <w:rFonts w:eastAsia="Arial" w:cs="Arial"/>
          <w:vertAlign w:val="superscript"/>
        </w:rPr>
        <w:t xml:space="preserve"> </w:t>
      </w:r>
      <w:r w:rsidRPr="009B19E9">
        <w:rPr>
          <w:rFonts w:eastAsia="Arial" w:cs="Arial"/>
        </w:rPr>
        <w:t>quarter, and now is substantially above the target range of 600-680 at 732.6 admissions per 100,000 population</w:t>
      </w:r>
      <w:r w:rsidR="001E2A17">
        <w:rPr>
          <w:rFonts w:eastAsia="Arial" w:cs="Arial"/>
        </w:rPr>
        <w:t xml:space="preserve"> (which is1882 people admitted to permanent residential care in the year)</w:t>
      </w:r>
      <w:r w:rsidRPr="009B19E9">
        <w:rPr>
          <w:rFonts w:eastAsia="Arial" w:cs="Arial"/>
        </w:rPr>
        <w:t>.</w:t>
      </w:r>
      <w:r w:rsidRPr="00C4226F">
        <w:rPr>
          <w:rFonts w:eastAsia="Arial" w:cs="Arial"/>
        </w:rPr>
        <w:t xml:space="preserve"> </w:t>
      </w:r>
      <w:r>
        <w:rPr>
          <w:rFonts w:eastAsia="Arial" w:cs="Arial"/>
        </w:rPr>
        <w:t>This is a key area of focus for the next period, and as stated above links to challenges in the workforce across health and social care</w:t>
      </w:r>
      <w:r w:rsidR="00EC4A9A">
        <w:rPr>
          <w:rFonts w:eastAsia="Arial" w:cs="Arial"/>
        </w:rPr>
        <w:t xml:space="preserve"> and</w:t>
      </w:r>
      <w:r>
        <w:rPr>
          <w:rFonts w:eastAsia="Arial" w:cs="Arial"/>
        </w:rPr>
        <w:t xml:space="preserve"> this is an issue nationally as well as locally</w:t>
      </w:r>
      <w:r w:rsidR="00EC4A9A">
        <w:rPr>
          <w:rFonts w:eastAsia="Arial" w:cs="Arial"/>
        </w:rPr>
        <w:t>.</w:t>
      </w:r>
    </w:p>
    <w:p w14:paraId="3E436FF3" w14:textId="67EE58D8" w:rsidR="00595387" w:rsidRPr="0083687A" w:rsidRDefault="00595387" w:rsidP="00595387">
      <w:pPr>
        <w:pStyle w:val="ListParagraph"/>
        <w:numPr>
          <w:ilvl w:val="0"/>
          <w:numId w:val="10"/>
        </w:numPr>
        <w:rPr>
          <w:rFonts w:asciiTheme="minorHAnsi" w:eastAsiaTheme="minorEastAsia" w:hAnsiTheme="minorHAnsi" w:cstheme="minorBidi"/>
          <w:color w:val="000000" w:themeColor="text1"/>
        </w:rPr>
      </w:pPr>
      <w:r w:rsidRPr="0083687A">
        <w:rPr>
          <w:rFonts w:eastAsia="Arial" w:cs="Arial"/>
        </w:rPr>
        <w:t xml:space="preserve">In </w:t>
      </w:r>
      <w:r w:rsidR="007D7FC5">
        <w:rPr>
          <w:rFonts w:eastAsia="Arial" w:cs="Arial"/>
        </w:rPr>
        <w:t>quarter 2</w:t>
      </w:r>
      <w:r w:rsidRPr="0083687A">
        <w:rPr>
          <w:rFonts w:eastAsia="Arial" w:cs="Arial"/>
        </w:rPr>
        <w:t xml:space="preserve"> there w</w:t>
      </w:r>
      <w:r w:rsidR="00571F4C">
        <w:rPr>
          <w:rFonts w:eastAsia="Arial" w:cs="Arial"/>
        </w:rPr>
        <w:t>ere</w:t>
      </w:r>
      <w:r w:rsidRPr="0083687A">
        <w:rPr>
          <w:rFonts w:eastAsia="Arial" w:cs="Arial"/>
        </w:rPr>
        <w:t xml:space="preserve"> </w:t>
      </w:r>
      <w:r w:rsidR="007D7FC5">
        <w:rPr>
          <w:rFonts w:eastAsia="Arial" w:cs="Arial"/>
        </w:rPr>
        <w:t>some</w:t>
      </w:r>
      <w:r w:rsidRPr="0083687A">
        <w:rPr>
          <w:rFonts w:eastAsia="Arial" w:cs="Arial"/>
        </w:rPr>
        <w:t xml:space="preserve"> reviews</w:t>
      </w:r>
      <w:r w:rsidR="007D7FC5">
        <w:rPr>
          <w:rFonts w:eastAsia="Arial" w:cs="Arial"/>
        </w:rPr>
        <w:t xml:space="preserve"> outstanding</w:t>
      </w:r>
      <w:r w:rsidRPr="0083687A">
        <w:rPr>
          <w:rFonts w:eastAsia="Arial" w:cs="Arial"/>
        </w:rPr>
        <w:t xml:space="preserve"> </w:t>
      </w:r>
      <w:r w:rsidR="007D7FC5">
        <w:rPr>
          <w:rFonts w:eastAsia="Arial" w:cs="Arial"/>
        </w:rPr>
        <w:t xml:space="preserve">for </w:t>
      </w:r>
      <w:r w:rsidR="00571F4C">
        <w:rPr>
          <w:rFonts w:eastAsia="Arial" w:cs="Arial"/>
        </w:rPr>
        <w:t>people</w:t>
      </w:r>
      <w:r w:rsidRPr="0083687A">
        <w:rPr>
          <w:rFonts w:eastAsia="Arial" w:cs="Arial"/>
        </w:rPr>
        <w:t xml:space="preserve"> who entered care homes through Discharge 2 Assess (D2A) fully funded through March</w:t>
      </w:r>
      <w:r w:rsidR="003A0C40">
        <w:rPr>
          <w:rFonts w:eastAsia="Arial" w:cs="Arial"/>
        </w:rPr>
        <w:t xml:space="preserve"> to</w:t>
      </w:r>
      <w:r w:rsidRPr="0083687A">
        <w:rPr>
          <w:rFonts w:eastAsia="Arial" w:cs="Arial"/>
        </w:rPr>
        <w:t xml:space="preserve"> August 2020. </w:t>
      </w:r>
      <w:r w:rsidR="007D7FC5">
        <w:rPr>
          <w:rFonts w:eastAsia="Arial" w:cs="Arial"/>
        </w:rPr>
        <w:t>These were generally</w:t>
      </w:r>
      <w:r w:rsidRPr="0083687A">
        <w:rPr>
          <w:rFonts w:eastAsia="Arial" w:cs="Arial"/>
        </w:rPr>
        <w:t xml:space="preserve"> people across the </w:t>
      </w:r>
      <w:r w:rsidR="007D7FC5">
        <w:rPr>
          <w:rFonts w:eastAsia="Arial" w:cs="Arial"/>
        </w:rPr>
        <w:t>c</w:t>
      </w:r>
      <w:r w:rsidRPr="0083687A">
        <w:rPr>
          <w:rFonts w:eastAsia="Arial" w:cs="Arial"/>
        </w:rPr>
        <w:t>ounty who had more complicated circumstances</w:t>
      </w:r>
      <w:r w:rsidR="007D7FC5">
        <w:rPr>
          <w:rFonts w:eastAsia="Arial" w:cs="Arial"/>
        </w:rPr>
        <w:t>. There were also some unfinished Continuing Healthcare Review.</w:t>
      </w:r>
    </w:p>
    <w:p w14:paraId="3C2A86A2" w14:textId="430F229B" w:rsidR="00595387" w:rsidRPr="0083687A" w:rsidRDefault="00595387" w:rsidP="00595387">
      <w:pPr>
        <w:pStyle w:val="ListParagraph"/>
        <w:numPr>
          <w:ilvl w:val="0"/>
          <w:numId w:val="10"/>
        </w:numPr>
        <w:rPr>
          <w:rFonts w:asciiTheme="minorHAnsi" w:eastAsiaTheme="minorEastAsia" w:hAnsiTheme="minorHAnsi" w:cstheme="minorBidi"/>
          <w:color w:val="000000" w:themeColor="text1"/>
        </w:rPr>
      </w:pPr>
      <w:r w:rsidRPr="0083687A">
        <w:rPr>
          <w:rFonts w:eastAsia="Arial" w:cs="Arial"/>
        </w:rPr>
        <w:lastRenderedPageBreak/>
        <w:t xml:space="preserve">Informal carers who had continued to care through 2020/21 despite struggling pre-pandemic, came through to </w:t>
      </w:r>
      <w:r w:rsidR="00AE310C">
        <w:rPr>
          <w:rFonts w:eastAsia="Arial" w:cs="Arial"/>
        </w:rPr>
        <w:t>adult social care</w:t>
      </w:r>
      <w:r w:rsidRPr="0083687A">
        <w:rPr>
          <w:rFonts w:eastAsia="Arial" w:cs="Arial"/>
        </w:rPr>
        <w:t xml:space="preserve"> as lockdown eased and confidence in care homes returned</w:t>
      </w:r>
      <w:r w:rsidR="00AE310C">
        <w:rPr>
          <w:rFonts w:eastAsia="Arial" w:cs="Arial"/>
        </w:rPr>
        <w:t xml:space="preserve">. This resulted in </w:t>
      </w:r>
      <w:r w:rsidRPr="0083687A">
        <w:rPr>
          <w:rFonts w:eastAsia="Arial" w:cs="Arial"/>
        </w:rPr>
        <w:t xml:space="preserve">more people </w:t>
      </w:r>
      <w:r w:rsidR="00AE310C">
        <w:rPr>
          <w:rFonts w:eastAsia="Arial" w:cs="Arial"/>
        </w:rPr>
        <w:t>agreeing</w:t>
      </w:r>
      <w:r w:rsidRPr="0083687A">
        <w:rPr>
          <w:rFonts w:eastAsia="Arial" w:cs="Arial"/>
        </w:rPr>
        <w:t xml:space="preserve"> to care home placements</w:t>
      </w:r>
      <w:r w:rsidR="004A4636">
        <w:rPr>
          <w:rFonts w:eastAsia="Arial" w:cs="Arial"/>
        </w:rPr>
        <w:t>.</w:t>
      </w:r>
      <w:r w:rsidRPr="0083687A">
        <w:rPr>
          <w:rFonts w:eastAsia="Arial" w:cs="Arial"/>
        </w:rPr>
        <w:t xml:space="preserve"> </w:t>
      </w:r>
    </w:p>
    <w:p w14:paraId="467BC806" w14:textId="36911167" w:rsidR="00595387" w:rsidRPr="0083687A" w:rsidRDefault="00595387" w:rsidP="00595387">
      <w:pPr>
        <w:pStyle w:val="ListParagraph"/>
        <w:numPr>
          <w:ilvl w:val="0"/>
          <w:numId w:val="10"/>
        </w:numPr>
        <w:rPr>
          <w:rFonts w:asciiTheme="minorHAnsi" w:eastAsiaTheme="minorEastAsia" w:hAnsiTheme="minorHAnsi" w:cstheme="minorBidi"/>
          <w:color w:val="000000" w:themeColor="text1"/>
        </w:rPr>
      </w:pPr>
      <w:r w:rsidRPr="0083687A">
        <w:rPr>
          <w:rFonts w:eastAsia="Arial" w:cs="Arial"/>
        </w:rPr>
        <w:t>Homecare pressures increase</w:t>
      </w:r>
      <w:r w:rsidR="004A4636">
        <w:rPr>
          <w:rFonts w:eastAsia="Arial" w:cs="Arial"/>
        </w:rPr>
        <w:t>d</w:t>
      </w:r>
      <w:r w:rsidRPr="0083687A">
        <w:rPr>
          <w:rFonts w:eastAsia="Arial" w:cs="Arial"/>
        </w:rPr>
        <w:t xml:space="preserve"> significantly from July </w:t>
      </w:r>
      <w:r w:rsidR="009619DB">
        <w:rPr>
          <w:rFonts w:eastAsia="Arial" w:cs="Arial"/>
        </w:rPr>
        <w:t>20</w:t>
      </w:r>
      <w:r w:rsidRPr="0083687A">
        <w:rPr>
          <w:rFonts w:eastAsia="Arial" w:cs="Arial"/>
        </w:rPr>
        <w:t xml:space="preserve">21 onwards and more people entered </w:t>
      </w:r>
      <w:r w:rsidR="009619DB">
        <w:rPr>
          <w:rFonts w:eastAsia="Arial" w:cs="Arial"/>
        </w:rPr>
        <w:t>care home</w:t>
      </w:r>
      <w:r w:rsidR="002F07D0">
        <w:rPr>
          <w:rFonts w:eastAsia="Arial" w:cs="Arial"/>
        </w:rPr>
        <w:t>s</w:t>
      </w:r>
      <w:r w:rsidR="009619DB">
        <w:rPr>
          <w:rFonts w:eastAsia="Arial" w:cs="Arial"/>
        </w:rPr>
        <w:t xml:space="preserve"> for</w:t>
      </w:r>
      <w:r w:rsidRPr="0083687A">
        <w:rPr>
          <w:rFonts w:eastAsia="Arial" w:cs="Arial"/>
        </w:rPr>
        <w:t xml:space="preserve"> short term placements from</w:t>
      </w:r>
      <w:r w:rsidR="002F07D0">
        <w:rPr>
          <w:rFonts w:eastAsia="Arial" w:cs="Arial"/>
        </w:rPr>
        <w:t xml:space="preserve"> the</w:t>
      </w:r>
      <w:r w:rsidRPr="0083687A">
        <w:rPr>
          <w:rFonts w:eastAsia="Arial" w:cs="Arial"/>
        </w:rPr>
        <w:t xml:space="preserve"> community and hospital, pending availability of homecare. For some people, circumstances changed (their needs, their family</w:t>
      </w:r>
      <w:r w:rsidR="002F07D0">
        <w:rPr>
          <w:rFonts w:eastAsia="Arial" w:cs="Arial"/>
        </w:rPr>
        <w:t xml:space="preserve"> or </w:t>
      </w:r>
      <w:r w:rsidRPr="0083687A">
        <w:rPr>
          <w:rFonts w:eastAsia="Arial" w:cs="Arial"/>
        </w:rPr>
        <w:t>relatives</w:t>
      </w:r>
      <w:r w:rsidR="002F07D0">
        <w:rPr>
          <w:rFonts w:eastAsia="Arial" w:cs="Arial"/>
        </w:rPr>
        <w:t>'</w:t>
      </w:r>
      <w:r w:rsidRPr="0083687A">
        <w:rPr>
          <w:rFonts w:eastAsia="Arial" w:cs="Arial"/>
        </w:rPr>
        <w:t xml:space="preserve"> opinions, informal carers unable to take people back etc) and they remained in residential care on a longer</w:t>
      </w:r>
      <w:r w:rsidR="002F07D0">
        <w:rPr>
          <w:rFonts w:eastAsia="Arial" w:cs="Arial"/>
        </w:rPr>
        <w:t>-</w:t>
      </w:r>
      <w:r w:rsidRPr="0083687A">
        <w:rPr>
          <w:rFonts w:eastAsia="Arial" w:cs="Arial"/>
        </w:rPr>
        <w:t>term basis</w:t>
      </w:r>
      <w:r w:rsidR="002F07D0">
        <w:rPr>
          <w:rFonts w:eastAsia="Arial" w:cs="Arial"/>
        </w:rPr>
        <w:t>.</w:t>
      </w:r>
    </w:p>
    <w:p w14:paraId="15B5597C" w14:textId="5F47DE9F" w:rsidR="00595387" w:rsidRPr="0083687A" w:rsidRDefault="00595387" w:rsidP="00595387">
      <w:pPr>
        <w:pStyle w:val="ListParagraph"/>
        <w:numPr>
          <w:ilvl w:val="0"/>
          <w:numId w:val="10"/>
        </w:numPr>
        <w:rPr>
          <w:rFonts w:asciiTheme="minorHAnsi" w:eastAsiaTheme="minorEastAsia" w:hAnsiTheme="minorHAnsi" w:cstheme="minorBidi"/>
          <w:color w:val="000000" w:themeColor="text1"/>
        </w:rPr>
      </w:pPr>
      <w:r w:rsidRPr="0083687A">
        <w:rPr>
          <w:rFonts w:eastAsia="Arial" w:cs="Arial"/>
        </w:rPr>
        <w:t xml:space="preserve">Community teams </w:t>
      </w:r>
      <w:r w:rsidR="0040363B">
        <w:rPr>
          <w:rFonts w:eastAsia="Arial" w:cs="Arial"/>
        </w:rPr>
        <w:t>are working through</w:t>
      </w:r>
      <w:r w:rsidR="00013CFA">
        <w:rPr>
          <w:rFonts w:eastAsia="Arial" w:cs="Arial"/>
        </w:rPr>
        <w:t xml:space="preserve"> backlogs of cases, which include people who have approached adult social care for a care home placement</w:t>
      </w:r>
      <w:r w:rsidR="000E71D2">
        <w:rPr>
          <w:rFonts w:eastAsia="Arial" w:cs="Arial"/>
        </w:rPr>
        <w:t xml:space="preserve"> or are already in a care home and their funds have depleted below the threshold.</w:t>
      </w:r>
    </w:p>
    <w:p w14:paraId="79B00763" w14:textId="58C9AE23" w:rsidR="00930B30" w:rsidRPr="00A52878" w:rsidRDefault="00595387" w:rsidP="00930B30">
      <w:pPr>
        <w:pStyle w:val="ListParagraph"/>
        <w:numPr>
          <w:ilvl w:val="0"/>
          <w:numId w:val="10"/>
        </w:numPr>
        <w:rPr>
          <w:rFonts w:asciiTheme="minorHAnsi" w:eastAsiaTheme="minorEastAsia" w:hAnsiTheme="minorHAnsi" w:cstheme="minorBidi"/>
          <w:color w:val="000000" w:themeColor="text1"/>
        </w:rPr>
      </w:pPr>
      <w:r w:rsidRPr="0083687A">
        <w:rPr>
          <w:rFonts w:eastAsia="Arial" w:cs="Arial"/>
        </w:rPr>
        <w:t xml:space="preserve">People </w:t>
      </w:r>
      <w:r w:rsidR="00502824">
        <w:rPr>
          <w:rFonts w:eastAsia="Arial" w:cs="Arial"/>
        </w:rPr>
        <w:t>are being discharged from hospital</w:t>
      </w:r>
      <w:r w:rsidRPr="0083687A">
        <w:rPr>
          <w:rFonts w:eastAsia="Arial" w:cs="Arial"/>
        </w:rPr>
        <w:t xml:space="preserve"> with increased levels of and more complex needs. Going into a short term D2A bed </w:t>
      </w:r>
      <w:r w:rsidR="008714D5">
        <w:rPr>
          <w:rFonts w:eastAsia="Arial" w:cs="Arial"/>
        </w:rPr>
        <w:t>enables</w:t>
      </w:r>
      <w:r w:rsidRPr="0083687A">
        <w:rPr>
          <w:rFonts w:eastAsia="Arial" w:cs="Arial"/>
        </w:rPr>
        <w:t xml:space="preserve"> recovery but </w:t>
      </w:r>
      <w:r w:rsidR="008714D5">
        <w:rPr>
          <w:rFonts w:eastAsia="Arial" w:cs="Arial"/>
        </w:rPr>
        <w:t xml:space="preserve">requires the </w:t>
      </w:r>
      <w:r w:rsidRPr="0083687A">
        <w:rPr>
          <w:rFonts w:eastAsia="Arial" w:cs="Arial"/>
        </w:rPr>
        <w:t xml:space="preserve">NHS </w:t>
      </w:r>
      <w:r w:rsidR="008714D5">
        <w:rPr>
          <w:rFonts w:eastAsia="Arial" w:cs="Arial"/>
        </w:rPr>
        <w:t>to</w:t>
      </w:r>
      <w:r w:rsidRPr="0083687A">
        <w:rPr>
          <w:rFonts w:eastAsia="Arial" w:cs="Arial"/>
        </w:rPr>
        <w:t xml:space="preserve"> have sufficient therapy resource</w:t>
      </w:r>
      <w:r w:rsidR="008714D5">
        <w:rPr>
          <w:rFonts w:eastAsia="Arial" w:cs="Arial"/>
        </w:rPr>
        <w:t xml:space="preserve"> to be fully effective. P</w:t>
      </w:r>
      <w:r w:rsidRPr="0083687A">
        <w:rPr>
          <w:rFonts w:eastAsia="Arial" w:cs="Arial"/>
        </w:rPr>
        <w:t>eople are not always regaining lost skills and abilities as they should</w:t>
      </w:r>
      <w:r w:rsidR="008714D5">
        <w:rPr>
          <w:rFonts w:eastAsia="Arial" w:cs="Arial"/>
        </w:rPr>
        <w:t xml:space="preserve">, which leads </w:t>
      </w:r>
      <w:r w:rsidRPr="0083687A">
        <w:rPr>
          <w:rFonts w:eastAsia="Arial" w:cs="Arial"/>
        </w:rPr>
        <w:t xml:space="preserve">to a higher care requirement, </w:t>
      </w:r>
      <w:r w:rsidR="008714D5">
        <w:rPr>
          <w:rFonts w:eastAsia="Arial" w:cs="Arial"/>
        </w:rPr>
        <w:t>with some</w:t>
      </w:r>
      <w:r w:rsidRPr="0083687A">
        <w:rPr>
          <w:rFonts w:eastAsia="Arial" w:cs="Arial"/>
        </w:rPr>
        <w:t xml:space="preserve"> people remaining in care home placements significantly longer than pre-pandemic.</w:t>
      </w:r>
      <w:r w:rsidR="00930B30" w:rsidRPr="0083687A">
        <w:rPr>
          <w:rFonts w:eastAsia="Arial" w:cs="Arial"/>
        </w:rPr>
        <w:t xml:space="preserve"> </w:t>
      </w:r>
    </w:p>
    <w:p w14:paraId="56FB2BD1" w14:textId="77777777" w:rsidR="00A52878" w:rsidRPr="0083687A" w:rsidRDefault="00A52878" w:rsidP="00A52878">
      <w:pPr>
        <w:pStyle w:val="ListParagraph"/>
        <w:rPr>
          <w:rFonts w:asciiTheme="minorHAnsi" w:eastAsiaTheme="minorEastAsia" w:hAnsiTheme="minorHAnsi" w:cstheme="minorBidi"/>
          <w:color w:val="000000" w:themeColor="text1"/>
        </w:rPr>
      </w:pPr>
    </w:p>
    <w:p w14:paraId="71185660" w14:textId="40D83297" w:rsidR="00930B30" w:rsidRPr="00784ABD" w:rsidRDefault="00930B30" w:rsidP="00930B30">
      <w:pPr>
        <w:rPr>
          <w:rFonts w:cs="Arial"/>
        </w:rPr>
      </w:pPr>
      <w:r w:rsidRPr="114D10C4">
        <w:rPr>
          <w:rFonts w:cs="Arial"/>
          <w:b/>
          <w:bCs/>
        </w:rPr>
        <w:t>Health Checks.</w:t>
      </w:r>
      <w:r w:rsidRPr="114D10C4">
        <w:rPr>
          <w:rFonts w:cs="Arial"/>
        </w:rPr>
        <w:t xml:space="preserve">  </w:t>
      </w:r>
      <w:r w:rsidR="00BC5354">
        <w:rPr>
          <w:rFonts w:cs="Arial"/>
        </w:rPr>
        <w:t>The delivery of health checks</w:t>
      </w:r>
      <w:r w:rsidRPr="00784ABD">
        <w:rPr>
          <w:rFonts w:eastAsia="Arial" w:cs="Arial"/>
        </w:rPr>
        <w:t xml:space="preserve"> is still mainly through GP practices in primary care, with a small amount of provision from other commissioned services in workplaces, community settings and places of worship</w:t>
      </w:r>
      <w:r w:rsidR="00BC5354">
        <w:rPr>
          <w:rFonts w:eastAsia="Arial" w:cs="Arial"/>
        </w:rPr>
        <w:t>.</w:t>
      </w:r>
    </w:p>
    <w:p w14:paraId="07C27DBC" w14:textId="4119A332" w:rsidR="00B55EE8" w:rsidRDefault="00930B30" w:rsidP="00930B30">
      <w:pPr>
        <w:rPr>
          <w:rFonts w:eastAsia="Arial" w:cs="Arial"/>
        </w:rPr>
      </w:pPr>
      <w:r w:rsidRPr="00784ABD">
        <w:rPr>
          <w:rFonts w:eastAsia="Arial" w:cs="Arial"/>
        </w:rPr>
        <w:t xml:space="preserve">Elements of the NHS Health Check has to be delivered in a </w:t>
      </w:r>
      <w:r w:rsidR="005965B6" w:rsidRPr="00784ABD">
        <w:rPr>
          <w:rFonts w:eastAsia="Arial" w:cs="Arial"/>
        </w:rPr>
        <w:t>face-to-face</w:t>
      </w:r>
      <w:r w:rsidRPr="00784ABD">
        <w:rPr>
          <w:rFonts w:eastAsia="Arial" w:cs="Arial"/>
        </w:rPr>
        <w:t xml:space="preserve"> situation, and as such, delivery continues to be affected by the pandemic. With the recent vaccine drive, capacity in GP surgeries has made it very difficult to deliver health checks and even with the relaxation of home working only recently coming into effect, many workplaces have not returned to previous capacity levels significantly affecting the availability of people eligible for a Health Check. Additionally, one of the commissioned third-party providers has given notice on their contract. In response, an existing provider will alter their existing delivery model via a contract variation to deliver health checks in workplaces and community settings.</w:t>
      </w:r>
    </w:p>
    <w:p w14:paraId="5FEFC343" w14:textId="77777777" w:rsidR="00B55EE8" w:rsidRPr="004F210A" w:rsidRDefault="00B55EE8" w:rsidP="00B55EE8">
      <w:pPr>
        <w:pStyle w:val="paragraph"/>
        <w:spacing w:before="0" w:beforeAutospacing="0" w:after="0" w:afterAutospacing="0"/>
        <w:jc w:val="both"/>
        <w:textAlignment w:val="baseline"/>
        <w:rPr>
          <w:rStyle w:val="normaltextrun"/>
          <w:sz w:val="24"/>
          <w:szCs w:val="24"/>
        </w:rPr>
      </w:pPr>
      <w:r w:rsidRPr="004F210A">
        <w:rPr>
          <w:rStyle w:val="eop"/>
          <w:rFonts w:ascii="Arial" w:hAnsi="Arial" w:cs="Arial"/>
          <w:sz w:val="24"/>
          <w:szCs w:val="24"/>
        </w:rPr>
        <w:t>With the above constraints being taken into consideration, Health Checks have still been taking place throughout the year, albeit at a reduced level.  In the first quarter, 5,700 checks were offered (invites) with an uptake of 1,024 (18%), Quarter Two provided 4,826 offers with 2,228 delivered (46%), and in Quarter Three the figure reported to NHS England was 5,834 offered with 2,783 delivered (48%).</w:t>
      </w:r>
    </w:p>
    <w:p w14:paraId="4DB692FE" w14:textId="2834AC4B" w:rsidR="00930B30" w:rsidRPr="00784ABD" w:rsidRDefault="00930B30" w:rsidP="00930B30">
      <w:pPr>
        <w:rPr>
          <w:rFonts w:eastAsia="Arial" w:cs="Arial"/>
        </w:rPr>
      </w:pPr>
      <w:r w:rsidRPr="00784ABD">
        <w:rPr>
          <w:rFonts w:eastAsia="Arial" w:cs="Arial"/>
        </w:rPr>
        <w:t xml:space="preserve">  </w:t>
      </w:r>
    </w:p>
    <w:p w14:paraId="7031E653" w14:textId="59261157" w:rsidR="00930B30" w:rsidRDefault="00930B30" w:rsidP="00930B30">
      <w:pPr>
        <w:rPr>
          <w:rFonts w:eastAsia="Arial" w:cs="Arial"/>
        </w:rPr>
      </w:pPr>
      <w:r w:rsidRPr="002C6709">
        <w:rPr>
          <w:rFonts w:ascii="Calibri" w:hAnsi="Calibri" w:cs="Calibri"/>
        </w:rPr>
        <w:lastRenderedPageBreak/>
        <w:t xml:space="preserve"> </w:t>
      </w:r>
      <w:r w:rsidRPr="002C6709">
        <w:rPr>
          <w:rFonts w:eastAsia="Arial" w:cs="Arial"/>
        </w:rPr>
        <w:t>NHS Health Checks remain a Public Health priority within the Healthy Hearts agenda and a series of mobilisation activities are already underway across Lancashire (Rossendale, Morecambe Bay, Central Lancashire and West Lancashire) with support from CCG colleagues, community providers, Lancashire County Council Corporate Communications and the Programme Office</w:t>
      </w:r>
      <w:r w:rsidR="00395FAB">
        <w:rPr>
          <w:rFonts w:eastAsia="Arial" w:cs="Arial"/>
        </w:rPr>
        <w:t>.</w:t>
      </w:r>
    </w:p>
    <w:p w14:paraId="246AC732" w14:textId="77777777" w:rsidR="00A52878" w:rsidRPr="002C6709" w:rsidRDefault="00A52878" w:rsidP="00930B30">
      <w:pPr>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70"/>
        <w:gridCol w:w="3819"/>
        <w:gridCol w:w="6095"/>
      </w:tblGrid>
      <w:tr w:rsidR="00153D3E" w14:paraId="1605B654" w14:textId="77777777" w:rsidTr="00372C61">
        <w:trPr>
          <w:trHeight w:val="623"/>
        </w:trPr>
        <w:tc>
          <w:tcPr>
            <w:tcW w:w="2508" w:type="dxa"/>
            <w:tcBorders>
              <w:top w:val="single" w:sz="4" w:space="0" w:color="auto"/>
              <w:left w:val="single" w:sz="4" w:space="0" w:color="auto"/>
              <w:bottom w:val="single" w:sz="4" w:space="0" w:color="auto"/>
              <w:right w:val="single" w:sz="4" w:space="0" w:color="auto"/>
            </w:tcBorders>
          </w:tcPr>
          <w:p w14:paraId="79C646E4" w14:textId="77777777" w:rsidR="00153D3E" w:rsidRDefault="00153D3E" w:rsidP="00AF6B01">
            <w:pPr>
              <w:pStyle w:val="NoSpacing"/>
              <w:rPr>
                <w:rFonts w:ascii="Arial" w:hAnsi="Arial" w:cs="Arial"/>
                <w:b/>
                <w:bCs/>
                <w:sz w:val="20"/>
                <w:szCs w:val="20"/>
              </w:rPr>
            </w:pPr>
            <w:bookmarkStart w:id="8" w:name="_Hlk86919143"/>
            <w:r w:rsidRPr="0D5360B6">
              <w:rPr>
                <w:rFonts w:ascii="Arial" w:hAnsi="Arial" w:cs="Arial"/>
                <w:b/>
                <w:bCs/>
                <w:sz w:val="20"/>
                <w:szCs w:val="20"/>
              </w:rPr>
              <w:t>Performance Indicator</w:t>
            </w:r>
          </w:p>
        </w:tc>
        <w:tc>
          <w:tcPr>
            <w:tcW w:w="1470" w:type="dxa"/>
            <w:tcBorders>
              <w:top w:val="single" w:sz="4" w:space="0" w:color="auto"/>
              <w:left w:val="single" w:sz="4" w:space="0" w:color="auto"/>
              <w:bottom w:val="single" w:sz="4" w:space="0" w:color="auto"/>
              <w:right w:val="single" w:sz="4" w:space="0" w:color="auto"/>
            </w:tcBorders>
          </w:tcPr>
          <w:p w14:paraId="469A9174" w14:textId="77777777" w:rsidR="00153D3E" w:rsidRDefault="00153D3E" w:rsidP="00AF6B01">
            <w:pPr>
              <w:pStyle w:val="NoSpacing"/>
              <w:rPr>
                <w:rFonts w:ascii="Arial" w:hAnsi="Arial" w:cs="Arial"/>
                <w:b/>
                <w:bCs/>
                <w:sz w:val="20"/>
                <w:szCs w:val="20"/>
              </w:rPr>
            </w:pPr>
            <w:r w:rsidRPr="0D5360B6">
              <w:rPr>
                <w:rFonts w:ascii="Arial" w:hAnsi="Arial" w:cs="Arial"/>
                <w:b/>
                <w:bCs/>
                <w:sz w:val="20"/>
                <w:szCs w:val="20"/>
              </w:rPr>
              <w:t>Frequency</w:t>
            </w:r>
          </w:p>
        </w:tc>
        <w:tc>
          <w:tcPr>
            <w:tcW w:w="3819" w:type="dxa"/>
            <w:tcBorders>
              <w:top w:val="single" w:sz="4" w:space="0" w:color="auto"/>
              <w:left w:val="single" w:sz="4" w:space="0" w:color="auto"/>
              <w:bottom w:val="single" w:sz="4" w:space="0" w:color="auto"/>
              <w:right w:val="single" w:sz="4" w:space="0" w:color="auto"/>
            </w:tcBorders>
          </w:tcPr>
          <w:p w14:paraId="32CAEAC7" w14:textId="77777777" w:rsidR="00153D3E" w:rsidRDefault="00153D3E" w:rsidP="00AF6B01">
            <w:pPr>
              <w:pStyle w:val="NoSpacing"/>
              <w:rPr>
                <w:rFonts w:ascii="Arial" w:hAnsi="Arial" w:cs="Arial"/>
                <w:b/>
                <w:bCs/>
                <w:sz w:val="20"/>
                <w:szCs w:val="20"/>
              </w:rPr>
            </w:pPr>
            <w:r w:rsidRPr="0D5360B6">
              <w:rPr>
                <w:rFonts w:ascii="Arial" w:hAnsi="Arial" w:cs="Arial"/>
                <w:b/>
                <w:bCs/>
                <w:sz w:val="20"/>
                <w:szCs w:val="20"/>
              </w:rPr>
              <w:t xml:space="preserve">Directorate </w:t>
            </w:r>
          </w:p>
        </w:tc>
        <w:tc>
          <w:tcPr>
            <w:tcW w:w="6095" w:type="dxa"/>
            <w:tcBorders>
              <w:top w:val="single" w:sz="4" w:space="0" w:color="auto"/>
              <w:left w:val="single" w:sz="4" w:space="0" w:color="auto"/>
              <w:bottom w:val="single" w:sz="4" w:space="0" w:color="auto"/>
              <w:right w:val="single" w:sz="4" w:space="0" w:color="auto"/>
            </w:tcBorders>
          </w:tcPr>
          <w:p w14:paraId="2D9DB3C1" w14:textId="77777777" w:rsidR="00153D3E" w:rsidRDefault="00153D3E" w:rsidP="00AF6B01">
            <w:pPr>
              <w:pStyle w:val="NoSpacing"/>
              <w:spacing w:line="252" w:lineRule="auto"/>
              <w:rPr>
                <w:rFonts w:ascii="Arial" w:eastAsiaTheme="minorEastAsia" w:hAnsi="Arial" w:cs="Arial"/>
                <w:b/>
                <w:bCs/>
                <w:sz w:val="20"/>
                <w:szCs w:val="20"/>
              </w:rPr>
            </w:pPr>
            <w:r w:rsidRPr="0D5360B6">
              <w:rPr>
                <w:rFonts w:ascii="Arial" w:hAnsi="Arial" w:cs="Arial"/>
                <w:b/>
                <w:bCs/>
                <w:sz w:val="20"/>
                <w:szCs w:val="20"/>
              </w:rPr>
              <w:t>Current Performance</w:t>
            </w:r>
          </w:p>
        </w:tc>
      </w:tr>
      <w:tr w:rsidR="00153D3E" w14:paraId="7E187236" w14:textId="77777777" w:rsidTr="00372C61">
        <w:trPr>
          <w:trHeight w:val="684"/>
        </w:trPr>
        <w:tc>
          <w:tcPr>
            <w:tcW w:w="2508" w:type="dxa"/>
            <w:tcBorders>
              <w:top w:val="single" w:sz="4" w:space="0" w:color="auto"/>
              <w:left w:val="single" w:sz="4" w:space="0" w:color="auto"/>
              <w:bottom w:val="single" w:sz="4" w:space="0" w:color="auto"/>
              <w:right w:val="single" w:sz="4" w:space="0" w:color="auto"/>
            </w:tcBorders>
          </w:tcPr>
          <w:p w14:paraId="7430655E" w14:textId="77777777" w:rsidR="00153D3E" w:rsidRDefault="00153D3E" w:rsidP="00AF6B01">
            <w:pPr>
              <w:pStyle w:val="NoSpacing"/>
              <w:rPr>
                <w:rFonts w:ascii="Arial" w:eastAsia="Arial" w:hAnsi="Arial" w:cs="Arial"/>
              </w:rPr>
            </w:pPr>
            <w:r w:rsidRPr="0D5360B6">
              <w:rPr>
                <w:rFonts w:ascii="Arial" w:eastAsia="Arial" w:hAnsi="Arial" w:cs="Arial"/>
              </w:rPr>
              <w:t>Public Health Outcomes in Lancashire</w:t>
            </w:r>
          </w:p>
          <w:p w14:paraId="7FADB178" w14:textId="77777777" w:rsidR="00153D3E" w:rsidRDefault="00153D3E" w:rsidP="00AF6B01">
            <w:pPr>
              <w:pStyle w:val="NoSpacing"/>
            </w:pPr>
          </w:p>
        </w:tc>
        <w:tc>
          <w:tcPr>
            <w:tcW w:w="1470" w:type="dxa"/>
            <w:tcBorders>
              <w:top w:val="single" w:sz="4" w:space="0" w:color="auto"/>
              <w:left w:val="single" w:sz="4" w:space="0" w:color="auto"/>
              <w:bottom w:val="single" w:sz="4" w:space="0" w:color="auto"/>
              <w:right w:val="single" w:sz="4" w:space="0" w:color="auto"/>
            </w:tcBorders>
          </w:tcPr>
          <w:p w14:paraId="457E3F35" w14:textId="77777777" w:rsidR="00153D3E" w:rsidRDefault="00153D3E" w:rsidP="00AF6B01">
            <w:pPr>
              <w:pStyle w:val="NoSpacing"/>
              <w:rPr>
                <w:rFonts w:ascii="Arial" w:hAnsi="Arial" w:cs="Arial"/>
              </w:rPr>
            </w:pPr>
            <w:r w:rsidRPr="0D5360B6">
              <w:rPr>
                <w:rFonts w:ascii="Arial" w:hAnsi="Arial" w:cs="Arial"/>
              </w:rPr>
              <w:t>Annual</w:t>
            </w:r>
          </w:p>
        </w:tc>
        <w:tc>
          <w:tcPr>
            <w:tcW w:w="3819" w:type="dxa"/>
            <w:tcBorders>
              <w:top w:val="single" w:sz="4" w:space="0" w:color="auto"/>
              <w:left w:val="single" w:sz="4" w:space="0" w:color="auto"/>
              <w:bottom w:val="single" w:sz="4" w:space="0" w:color="auto"/>
              <w:right w:val="single" w:sz="4" w:space="0" w:color="auto"/>
            </w:tcBorders>
          </w:tcPr>
          <w:p w14:paraId="174B9C6A" w14:textId="77777777" w:rsidR="00153D3E" w:rsidRDefault="00153D3E" w:rsidP="00AF6B01">
            <w:pPr>
              <w:pStyle w:val="NoSpacing"/>
            </w:pPr>
            <w:r w:rsidRPr="0D5360B6">
              <w:rPr>
                <w:rFonts w:ascii="Arial" w:hAnsi="Arial" w:cs="Arial"/>
              </w:rPr>
              <w:t>Adults Services and Health and Wellbeing</w:t>
            </w:r>
          </w:p>
          <w:p w14:paraId="4ABC3EE9" w14:textId="77777777" w:rsidR="00153D3E" w:rsidRDefault="00153D3E" w:rsidP="00AF6B01">
            <w:pPr>
              <w:pStyle w:val="NoSpacing"/>
            </w:pPr>
          </w:p>
        </w:tc>
        <w:tc>
          <w:tcPr>
            <w:tcW w:w="6095" w:type="dxa"/>
            <w:tcBorders>
              <w:top w:val="single" w:sz="4" w:space="0" w:color="auto"/>
              <w:left w:val="single" w:sz="4" w:space="0" w:color="auto"/>
              <w:bottom w:val="single" w:sz="4" w:space="0" w:color="auto"/>
              <w:right w:val="single" w:sz="4" w:space="0" w:color="auto"/>
            </w:tcBorders>
          </w:tcPr>
          <w:p w14:paraId="355DF9B7" w14:textId="77777777" w:rsidR="00153D3E" w:rsidRDefault="00153D3E" w:rsidP="00D84F83">
            <w:pPr>
              <w:pStyle w:val="NoSpacing"/>
              <w:rPr>
                <w:rFonts w:ascii="Arial" w:hAnsi="Arial" w:cs="Arial"/>
              </w:rPr>
            </w:pPr>
            <w:r w:rsidRPr="0D5360B6">
              <w:rPr>
                <w:rFonts w:ascii="Arial" w:hAnsi="Arial" w:cs="Arial"/>
              </w:rPr>
              <w:t>Report presented to 01/07/21 CCPI meeting.  Additional metrics now being considered for inclusion in</w:t>
            </w:r>
            <w:r>
              <w:rPr>
                <w:rFonts w:ascii="Arial" w:hAnsi="Arial" w:cs="Arial"/>
              </w:rPr>
              <w:t xml:space="preserve"> future</w:t>
            </w:r>
            <w:r w:rsidRPr="0D5360B6">
              <w:rPr>
                <w:rFonts w:ascii="Arial" w:hAnsi="Arial" w:cs="Arial"/>
              </w:rPr>
              <w:t xml:space="preserve"> report</w:t>
            </w:r>
            <w:r>
              <w:rPr>
                <w:rFonts w:ascii="Arial" w:hAnsi="Arial" w:cs="Arial"/>
              </w:rPr>
              <w:t>s</w:t>
            </w:r>
            <w:r w:rsidRPr="0D5360B6">
              <w:rPr>
                <w:rFonts w:ascii="Arial" w:hAnsi="Arial" w:cs="Arial"/>
              </w:rPr>
              <w:t>.</w:t>
            </w:r>
          </w:p>
          <w:p w14:paraId="75AC4FE3" w14:textId="77777777" w:rsidR="00E462BE" w:rsidRDefault="009E05C9" w:rsidP="00D84F83">
            <w:pPr>
              <w:pStyle w:val="NoSpacing"/>
              <w:rPr>
                <w:rFonts w:ascii="Arial" w:hAnsi="Arial" w:cs="Arial"/>
              </w:rPr>
            </w:pPr>
            <w:r>
              <w:rPr>
                <w:rFonts w:ascii="Arial" w:hAnsi="Arial" w:cs="Arial"/>
              </w:rPr>
              <w:t>See also Public Health annual report 2021-22 at:</w:t>
            </w:r>
          </w:p>
          <w:p w14:paraId="32C65786" w14:textId="79FEC862" w:rsidR="00153D3E" w:rsidRDefault="004F570D" w:rsidP="00AF6B01">
            <w:pPr>
              <w:pStyle w:val="NoSpacing"/>
              <w:rPr>
                <w:rFonts w:ascii="Arial" w:hAnsi="Arial" w:cs="Arial"/>
              </w:rPr>
            </w:pPr>
            <w:hyperlink r:id="rId12" w:history="1">
              <w:r w:rsidR="009E05C9" w:rsidRPr="009E05C9">
                <w:rPr>
                  <w:rFonts w:ascii="Arial" w:hAnsi="Arial" w:cs="Helvetica-Light"/>
                  <w:color w:val="0000FF"/>
                  <w:sz w:val="24"/>
                  <w:szCs w:val="24"/>
                  <w:u w:val="single"/>
                </w:rPr>
                <w:t>Annex 1.pdf</w:t>
              </w:r>
            </w:hyperlink>
          </w:p>
        </w:tc>
      </w:tr>
    </w:tbl>
    <w:p w14:paraId="455DE601" w14:textId="00B6BB1F" w:rsidR="00930B30" w:rsidRDefault="00930B30" w:rsidP="00930B30">
      <w:pPr>
        <w:rPr>
          <w:color w:val="000000" w:themeColor="text1"/>
        </w:rPr>
      </w:pPr>
    </w:p>
    <w:p w14:paraId="3EF0C299" w14:textId="487F047F" w:rsidR="00930B30" w:rsidRPr="00A7150C" w:rsidRDefault="00930B30" w:rsidP="00930B30">
      <w:pPr>
        <w:rPr>
          <w:color w:val="000000" w:themeColor="text1"/>
        </w:rPr>
      </w:pPr>
      <w:r w:rsidRPr="00A7150C">
        <w:rPr>
          <w:b/>
          <w:bCs/>
          <w:color w:val="000000" w:themeColor="text1"/>
        </w:rPr>
        <w:t>Additional service developments</w:t>
      </w:r>
      <w:r w:rsidRPr="00A7150C">
        <w:rPr>
          <w:color w:val="000000" w:themeColor="text1"/>
        </w:rPr>
        <w:t>. In addition to the above established key performance indicators many other service developments, projects and achievements are ongoing supporting and delivering the Caring for the Vulnerable corporate priority.  Performance metrics are being developed for these areas, along with associated targets where appropriate, for inclusion in future reports.</w:t>
      </w:r>
      <w:r w:rsidR="00884583">
        <w:rPr>
          <w:color w:val="000000" w:themeColor="text1"/>
        </w:rPr>
        <w:t xml:space="preserve">  </w:t>
      </w:r>
      <w:r w:rsidRPr="00A7150C">
        <w:rPr>
          <w:color w:val="000000" w:themeColor="text1"/>
        </w:rPr>
        <w:t>These service development areas include:</w:t>
      </w:r>
    </w:p>
    <w:p w14:paraId="305D1F6E" w14:textId="77777777" w:rsidR="009634B7" w:rsidRDefault="009634B7" w:rsidP="009634B7">
      <w:pPr>
        <w:pStyle w:val="ListParagraph"/>
        <w:numPr>
          <w:ilvl w:val="0"/>
          <w:numId w:val="18"/>
        </w:numPr>
        <w:autoSpaceDE/>
        <w:autoSpaceDN/>
        <w:adjustRightInd/>
        <w:spacing w:after="0"/>
        <w:contextualSpacing w:val="0"/>
        <w:jc w:val="left"/>
        <w:rPr>
          <w:rFonts w:ascii="Calibri" w:eastAsia="Times New Roman" w:hAnsi="Calibri" w:cs="Calibri"/>
          <w:color w:val="auto"/>
          <w:sz w:val="22"/>
          <w:szCs w:val="22"/>
        </w:rPr>
      </w:pPr>
      <w:r>
        <w:rPr>
          <w:rFonts w:eastAsia="Times New Roman"/>
        </w:rPr>
        <w:t>In September 2021 the DfE and NHSE found evidence of significant improvements to address the 5 areas of concern identified in revisit of SEND Services. As the county council and partners have demonstrated clear and sustained progress, formal monitoring via 6 monthly-progress reviews has ended.</w:t>
      </w:r>
    </w:p>
    <w:p w14:paraId="7F8B993F" w14:textId="77777777" w:rsidR="009634B7" w:rsidRDefault="009634B7" w:rsidP="009634B7">
      <w:pPr>
        <w:pStyle w:val="ListParagraph"/>
        <w:numPr>
          <w:ilvl w:val="0"/>
          <w:numId w:val="18"/>
        </w:numPr>
        <w:autoSpaceDE/>
        <w:autoSpaceDN/>
        <w:adjustRightInd/>
        <w:spacing w:after="0"/>
        <w:contextualSpacing w:val="0"/>
        <w:jc w:val="left"/>
        <w:rPr>
          <w:rFonts w:eastAsia="Times New Roman"/>
        </w:rPr>
      </w:pPr>
      <w:r>
        <w:rPr>
          <w:rFonts w:eastAsia="Times New Roman"/>
        </w:rPr>
        <w:t>The launch of the Family Safeguarding Model in Education &amp; Children's services in January 2021 has continued to support a reduction in the number of children being taken into care, which will improve the quality of life for young people and improved the budget profile.</w:t>
      </w:r>
    </w:p>
    <w:p w14:paraId="2983015F" w14:textId="77777777" w:rsidR="009634B7" w:rsidRDefault="009634B7" w:rsidP="009634B7">
      <w:pPr>
        <w:pStyle w:val="ListParagraph"/>
        <w:numPr>
          <w:ilvl w:val="0"/>
          <w:numId w:val="18"/>
        </w:numPr>
        <w:autoSpaceDE/>
        <w:autoSpaceDN/>
        <w:adjustRightInd/>
        <w:spacing w:after="0"/>
        <w:contextualSpacing w:val="0"/>
        <w:jc w:val="left"/>
        <w:rPr>
          <w:rFonts w:eastAsia="Times New Roman"/>
        </w:rPr>
      </w:pPr>
      <w:r>
        <w:rPr>
          <w:rFonts w:eastAsia="Times New Roman"/>
        </w:rPr>
        <w:t xml:space="preserve">The </w:t>
      </w:r>
      <w:r>
        <w:rPr>
          <w:rFonts w:eastAsia="Times New Roman"/>
          <w:i/>
          <w:iCs/>
        </w:rPr>
        <w:t>Your Family's Early Help Assessment</w:t>
      </w:r>
      <w:r>
        <w:rPr>
          <w:rFonts w:eastAsia="Times New Roman"/>
        </w:rPr>
        <w:t xml:space="preserve"> was launched in autumn 2021 to further strengthen our Early Help approach, working alongside families from a holistic, strength-based approach when areas of support are first identified will stop escalation towards crisis and the need for more intensive and specialist intervention.</w:t>
      </w:r>
    </w:p>
    <w:p w14:paraId="21D85A2D" w14:textId="77777777" w:rsidR="009634B7" w:rsidRDefault="009634B7" w:rsidP="009634B7">
      <w:pPr>
        <w:pStyle w:val="ListParagraph"/>
        <w:numPr>
          <w:ilvl w:val="0"/>
          <w:numId w:val="18"/>
        </w:numPr>
        <w:autoSpaceDE/>
        <w:autoSpaceDN/>
        <w:adjustRightInd/>
        <w:spacing w:after="0"/>
        <w:contextualSpacing w:val="0"/>
        <w:jc w:val="left"/>
        <w:rPr>
          <w:rFonts w:eastAsia="Times New Roman"/>
        </w:rPr>
      </w:pPr>
      <w:r>
        <w:rPr>
          <w:rFonts w:eastAsia="Times New Roman"/>
        </w:rPr>
        <w:t>Targeted work on free early years places for 2-year olds has resulted in significant increase in take-up, from 62% in the spring term to 81.6% in the autumn term.</w:t>
      </w:r>
    </w:p>
    <w:p w14:paraId="35664D43" w14:textId="06A821AF" w:rsidR="00930B30" w:rsidRPr="00A7150C" w:rsidRDefault="009634B7" w:rsidP="00A7150C">
      <w:pPr>
        <w:pStyle w:val="ListParagraph"/>
        <w:numPr>
          <w:ilvl w:val="0"/>
          <w:numId w:val="18"/>
        </w:numPr>
        <w:autoSpaceDE/>
        <w:autoSpaceDN/>
        <w:adjustRightInd/>
        <w:spacing w:after="0"/>
        <w:contextualSpacing w:val="0"/>
        <w:jc w:val="left"/>
        <w:rPr>
          <w:rFonts w:eastAsia="Times New Roman"/>
        </w:rPr>
      </w:pPr>
      <w:r>
        <w:rPr>
          <w:rFonts w:eastAsia="Times New Roman"/>
        </w:rPr>
        <w:t>Schools and education settings have continued to be supported to respond to the challenges presented by the Pandemic</w:t>
      </w:r>
      <w:r w:rsidR="009353A8">
        <w:rPr>
          <w:rFonts w:eastAsia="Times New Roman"/>
        </w:rPr>
        <w:t>.</w:t>
      </w:r>
    </w:p>
    <w:bookmarkEnd w:id="8"/>
    <w:p w14:paraId="2BDBF290" w14:textId="338013C6" w:rsidR="00F253F2" w:rsidRPr="007D64E6" w:rsidRDefault="00F253F2" w:rsidP="00F86BFD">
      <w:pPr>
        <w:pStyle w:val="ListParagraph"/>
        <w:numPr>
          <w:ilvl w:val="0"/>
          <w:numId w:val="18"/>
        </w:numPr>
        <w:rPr>
          <w:rFonts w:ascii="Calibri" w:eastAsiaTheme="minorHAnsi" w:hAnsi="Calibri" w:cs="Calibri"/>
          <w:color w:val="auto"/>
          <w:sz w:val="22"/>
          <w:szCs w:val="22"/>
        </w:rPr>
      </w:pPr>
      <w:r>
        <w:t xml:space="preserve">The Waste service also used the time during the pandemic to develop the </w:t>
      </w:r>
      <w:proofErr w:type="spellStart"/>
      <w:r>
        <w:t>'Re</w:t>
      </w:r>
      <w:proofErr w:type="spellEnd"/>
      <w:r>
        <w:t xml:space="preserve">-use Hub', a web based interface which can be accessed by council employees to browse a store of re-usable waste items. This is primarily targeted at social care services </w:t>
      </w:r>
      <w:r>
        <w:lastRenderedPageBreak/>
        <w:t xml:space="preserve">who can access items for vulnerable families or individuals that they work with and search for the specific items we have which are needed. Whilst this is already in use to some degree the lifting of covid restrictions will allow a full launch of the Re-use Hub and the re-introduction of the wider distribution network. A total of 1500 tonnes of waste items has been redistributed through the re-use network to date. </w:t>
      </w:r>
    </w:p>
    <w:p w14:paraId="555B585C" w14:textId="77777777" w:rsidR="00930B30" w:rsidRPr="006F4D72" w:rsidRDefault="00930B30">
      <w:pPr>
        <w:rPr>
          <w:b/>
          <w:color w:val="000000" w:themeColor="text1"/>
          <w:highlight w:val="yellow"/>
        </w:rPr>
      </w:pPr>
    </w:p>
    <w:sectPr w:rsidR="00930B30" w:rsidRPr="006F4D72" w:rsidSect="00794DD3">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0214" w14:textId="77777777" w:rsidR="004163F6" w:rsidRDefault="004163F6">
      <w:pPr>
        <w:spacing w:after="0"/>
      </w:pPr>
      <w:r>
        <w:separator/>
      </w:r>
    </w:p>
  </w:endnote>
  <w:endnote w:type="continuationSeparator" w:id="0">
    <w:p w14:paraId="2F648F46" w14:textId="77777777" w:rsidR="004163F6" w:rsidRDefault="004163F6">
      <w:pPr>
        <w:spacing w:after="0"/>
      </w:pPr>
      <w:r>
        <w:continuationSeparator/>
      </w:r>
    </w:p>
  </w:endnote>
  <w:endnote w:type="continuationNotice" w:id="1">
    <w:p w14:paraId="0D84906F" w14:textId="77777777" w:rsidR="004163F6" w:rsidRDefault="004163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17F2" w14:textId="77777777" w:rsidR="004F570D" w:rsidRDefault="004F5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A06" w14:textId="102D6F33" w:rsidR="00656749" w:rsidRDefault="00656749" w:rsidP="00387F7F">
    <w:pPr>
      <w:pStyle w:val="Footer"/>
    </w:pPr>
    <w:r w:rsidRPr="00DD214D">
      <w:rPr>
        <w:sz w:val="20"/>
        <w:szCs w:val="20"/>
      </w:rPr>
      <w:t xml:space="preserve">Please note all data </w:t>
    </w:r>
    <w:r>
      <w:rPr>
        <w:sz w:val="20"/>
        <w:szCs w:val="20"/>
      </w:rPr>
      <w:t>w</w:t>
    </w:r>
    <w:r w:rsidR="00933D2D">
      <w:rPr>
        <w:sz w:val="20"/>
        <w:szCs w:val="20"/>
      </w:rPr>
      <w:t>ere</w:t>
    </w:r>
    <w:r w:rsidRPr="00DD214D">
      <w:rPr>
        <w:sz w:val="20"/>
        <w:szCs w:val="20"/>
      </w:rPr>
      <w:t xml:space="preserve"> correct at the time of publication, however </w:t>
    </w:r>
    <w:r>
      <w:rPr>
        <w:sz w:val="20"/>
        <w:szCs w:val="20"/>
      </w:rPr>
      <w:t>they may</w:t>
    </w:r>
    <w:r w:rsidRPr="00DD214D">
      <w:rPr>
        <w:sz w:val="20"/>
        <w:szCs w:val="20"/>
      </w:rPr>
      <w:t xml:space="preserve"> change </w:t>
    </w:r>
    <w:r>
      <w:rPr>
        <w:sz w:val="20"/>
        <w:szCs w:val="20"/>
      </w:rPr>
      <w:t>due to validation processes including for statutory reporting</w:t>
    </w:r>
    <w:r>
      <w:t>.</w:t>
    </w:r>
  </w:p>
  <w:p w14:paraId="7D9B8BD3" w14:textId="77777777" w:rsidR="00656749" w:rsidRDefault="00656749" w:rsidP="00387F7F">
    <w:pPr>
      <w:pStyle w:val="Footer"/>
    </w:pPr>
  </w:p>
  <w:p w14:paraId="4B9328CD" w14:textId="641C10BB" w:rsidR="00656749" w:rsidRDefault="00656749">
    <w:pPr>
      <w:pStyle w:val="Footer"/>
    </w:pPr>
  </w:p>
  <w:p w14:paraId="52ACB2D9" w14:textId="2234729E" w:rsidR="00656749" w:rsidRDefault="00656749" w:rsidP="4E6013FB">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930" w14:textId="77777777" w:rsidR="004F570D" w:rsidRDefault="004F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2F07" w14:textId="77777777" w:rsidR="004163F6" w:rsidRDefault="004163F6">
      <w:pPr>
        <w:spacing w:after="0"/>
      </w:pPr>
      <w:r>
        <w:separator/>
      </w:r>
    </w:p>
  </w:footnote>
  <w:footnote w:type="continuationSeparator" w:id="0">
    <w:p w14:paraId="489E7393" w14:textId="77777777" w:rsidR="004163F6" w:rsidRDefault="004163F6">
      <w:pPr>
        <w:spacing w:after="0"/>
      </w:pPr>
      <w:r>
        <w:continuationSeparator/>
      </w:r>
    </w:p>
  </w:footnote>
  <w:footnote w:type="continuationNotice" w:id="1">
    <w:p w14:paraId="6FED2A66" w14:textId="77777777" w:rsidR="004163F6" w:rsidRDefault="004163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82A5" w14:textId="77777777" w:rsidR="004F570D" w:rsidRDefault="004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656749" w14:paraId="5C066961" w14:textId="77777777" w:rsidTr="4E6013FB">
      <w:tc>
        <w:tcPr>
          <w:tcW w:w="4650" w:type="dxa"/>
        </w:tcPr>
        <w:p w14:paraId="16404C97" w14:textId="4F87D90B" w:rsidR="00656749" w:rsidRDefault="00656749" w:rsidP="4E6013FB">
          <w:pPr>
            <w:pStyle w:val="Header"/>
            <w:ind w:left="-115"/>
            <w:jc w:val="left"/>
            <w:rPr>
              <w:color w:val="000000" w:themeColor="text1"/>
            </w:rPr>
          </w:pPr>
        </w:p>
      </w:tc>
      <w:tc>
        <w:tcPr>
          <w:tcW w:w="4650" w:type="dxa"/>
        </w:tcPr>
        <w:p w14:paraId="21FE034E" w14:textId="6581A01A" w:rsidR="00656749" w:rsidRDefault="00656749" w:rsidP="4E6013FB">
          <w:pPr>
            <w:pStyle w:val="Header"/>
            <w:jc w:val="center"/>
            <w:rPr>
              <w:color w:val="000000" w:themeColor="text1"/>
            </w:rPr>
          </w:pPr>
        </w:p>
      </w:tc>
      <w:tc>
        <w:tcPr>
          <w:tcW w:w="4650" w:type="dxa"/>
        </w:tcPr>
        <w:p w14:paraId="61DB086E" w14:textId="67FAF16B" w:rsidR="00656749" w:rsidRDefault="00656749" w:rsidP="4E6013FB">
          <w:pPr>
            <w:pStyle w:val="Header"/>
            <w:ind w:right="-115"/>
            <w:jc w:val="right"/>
            <w:rPr>
              <w:color w:val="000000" w:themeColor="text1"/>
            </w:rPr>
          </w:pPr>
        </w:p>
      </w:tc>
    </w:tr>
  </w:tbl>
  <w:p w14:paraId="4C38374D" w14:textId="110666D0" w:rsidR="00656749" w:rsidRDefault="004F570D" w:rsidP="004F570D">
    <w:pPr>
      <w:pStyle w:val="Header"/>
      <w:jc w:val="right"/>
      <w:rPr>
        <w:color w:val="000000" w:themeColor="text1"/>
      </w:rPr>
    </w:pPr>
    <w:r>
      <w:rPr>
        <w:color w:val="000000" w:themeColor="text1"/>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0E79" w14:textId="77777777" w:rsidR="004F570D" w:rsidRDefault="004F570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qEPdJWt" int2:invalidationBookmarkName="" int2:hashCode="70Q/PtdxIlJx1U" int2:id="6qiFQiRQ">
      <int2:state int2:value="Rejected" int2:type="WordDesignerDefaultAnnotation"/>
    </int2:bookmark>
    <int2:bookmark int2:bookmarkName="_Int_uFBQ1oWw" int2:invalidationBookmarkName="" int2:hashCode="1KGaliDCz9rX0N" int2:id="e7oDfV3Y">
      <int2:state int2:value="Rejected" int2:type="WordDesignerDefaultAnnotation"/>
    </int2:bookmark>
    <int2:bookmark int2:bookmarkName="_Int_MlVqU5HO" int2:invalidationBookmarkName="" int2:hashCode="6LZVWDrFBLaeiU" int2:id="xkN11pd6">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82"/>
    <w:multiLevelType w:val="hybridMultilevel"/>
    <w:tmpl w:val="A3DCA6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A063C76"/>
    <w:multiLevelType w:val="hybridMultilevel"/>
    <w:tmpl w:val="95AA461C"/>
    <w:lvl w:ilvl="0" w:tplc="112AEBC0">
      <w:start w:val="1"/>
      <w:numFmt w:val="bullet"/>
      <w:lvlText w:val="·"/>
      <w:lvlJc w:val="left"/>
      <w:pPr>
        <w:ind w:left="720" w:hanging="360"/>
      </w:pPr>
      <w:rPr>
        <w:rFonts w:ascii="Symbol" w:hAnsi="Symbol" w:hint="default"/>
      </w:rPr>
    </w:lvl>
    <w:lvl w:ilvl="1" w:tplc="D21283F0">
      <w:start w:val="1"/>
      <w:numFmt w:val="bullet"/>
      <w:lvlText w:val="o"/>
      <w:lvlJc w:val="left"/>
      <w:pPr>
        <w:ind w:left="1440" w:hanging="360"/>
      </w:pPr>
      <w:rPr>
        <w:rFonts w:ascii="Courier New" w:hAnsi="Courier New" w:hint="default"/>
      </w:rPr>
    </w:lvl>
    <w:lvl w:ilvl="2" w:tplc="FB9AD220">
      <w:start w:val="1"/>
      <w:numFmt w:val="bullet"/>
      <w:lvlText w:val=""/>
      <w:lvlJc w:val="left"/>
      <w:pPr>
        <w:ind w:left="2160" w:hanging="360"/>
      </w:pPr>
      <w:rPr>
        <w:rFonts w:ascii="Wingdings" w:hAnsi="Wingdings" w:hint="default"/>
      </w:rPr>
    </w:lvl>
    <w:lvl w:ilvl="3" w:tplc="CD26B95C">
      <w:start w:val="1"/>
      <w:numFmt w:val="bullet"/>
      <w:lvlText w:val=""/>
      <w:lvlJc w:val="left"/>
      <w:pPr>
        <w:ind w:left="2880" w:hanging="360"/>
      </w:pPr>
      <w:rPr>
        <w:rFonts w:ascii="Symbol" w:hAnsi="Symbol" w:hint="default"/>
      </w:rPr>
    </w:lvl>
    <w:lvl w:ilvl="4" w:tplc="AA3EBEF4">
      <w:start w:val="1"/>
      <w:numFmt w:val="bullet"/>
      <w:lvlText w:val="o"/>
      <w:lvlJc w:val="left"/>
      <w:pPr>
        <w:ind w:left="3600" w:hanging="360"/>
      </w:pPr>
      <w:rPr>
        <w:rFonts w:ascii="Courier New" w:hAnsi="Courier New" w:hint="default"/>
      </w:rPr>
    </w:lvl>
    <w:lvl w:ilvl="5" w:tplc="1AE2ABD4">
      <w:start w:val="1"/>
      <w:numFmt w:val="bullet"/>
      <w:lvlText w:val=""/>
      <w:lvlJc w:val="left"/>
      <w:pPr>
        <w:ind w:left="4320" w:hanging="360"/>
      </w:pPr>
      <w:rPr>
        <w:rFonts w:ascii="Wingdings" w:hAnsi="Wingdings" w:hint="default"/>
      </w:rPr>
    </w:lvl>
    <w:lvl w:ilvl="6" w:tplc="95B84EBE">
      <w:start w:val="1"/>
      <w:numFmt w:val="bullet"/>
      <w:lvlText w:val=""/>
      <w:lvlJc w:val="left"/>
      <w:pPr>
        <w:ind w:left="5040" w:hanging="360"/>
      </w:pPr>
      <w:rPr>
        <w:rFonts w:ascii="Symbol" w:hAnsi="Symbol" w:hint="default"/>
      </w:rPr>
    </w:lvl>
    <w:lvl w:ilvl="7" w:tplc="21C61C8A">
      <w:start w:val="1"/>
      <w:numFmt w:val="bullet"/>
      <w:lvlText w:val="o"/>
      <w:lvlJc w:val="left"/>
      <w:pPr>
        <w:ind w:left="5760" w:hanging="360"/>
      </w:pPr>
      <w:rPr>
        <w:rFonts w:ascii="Courier New" w:hAnsi="Courier New" w:hint="default"/>
      </w:rPr>
    </w:lvl>
    <w:lvl w:ilvl="8" w:tplc="4A1A4480">
      <w:start w:val="1"/>
      <w:numFmt w:val="bullet"/>
      <w:lvlText w:val=""/>
      <w:lvlJc w:val="left"/>
      <w:pPr>
        <w:ind w:left="6480" w:hanging="360"/>
      </w:pPr>
      <w:rPr>
        <w:rFonts w:ascii="Wingdings" w:hAnsi="Wingdings" w:hint="default"/>
      </w:rPr>
    </w:lvl>
  </w:abstractNum>
  <w:abstractNum w:abstractNumId="2" w15:restartNumberingAfterBreak="0">
    <w:nsid w:val="0D645509"/>
    <w:multiLevelType w:val="hybridMultilevel"/>
    <w:tmpl w:val="136C7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B70E80"/>
    <w:multiLevelType w:val="hybridMultilevel"/>
    <w:tmpl w:val="51CEE1E6"/>
    <w:lvl w:ilvl="0" w:tplc="78EC51B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B04000"/>
    <w:multiLevelType w:val="hybridMultilevel"/>
    <w:tmpl w:val="FFFFFFFF"/>
    <w:lvl w:ilvl="0" w:tplc="1E96D888">
      <w:start w:val="1"/>
      <w:numFmt w:val="bullet"/>
      <w:lvlText w:val="·"/>
      <w:lvlJc w:val="left"/>
      <w:pPr>
        <w:ind w:left="720" w:hanging="360"/>
      </w:pPr>
      <w:rPr>
        <w:rFonts w:ascii="Symbol" w:hAnsi="Symbol" w:hint="default"/>
      </w:rPr>
    </w:lvl>
    <w:lvl w:ilvl="1" w:tplc="72B61E46">
      <w:start w:val="1"/>
      <w:numFmt w:val="bullet"/>
      <w:lvlText w:val="o"/>
      <w:lvlJc w:val="left"/>
      <w:pPr>
        <w:ind w:left="1440" w:hanging="360"/>
      </w:pPr>
      <w:rPr>
        <w:rFonts w:ascii="Courier New" w:hAnsi="Courier New" w:hint="default"/>
      </w:rPr>
    </w:lvl>
    <w:lvl w:ilvl="2" w:tplc="E92E23E6">
      <w:start w:val="1"/>
      <w:numFmt w:val="bullet"/>
      <w:lvlText w:val=""/>
      <w:lvlJc w:val="left"/>
      <w:pPr>
        <w:ind w:left="2160" w:hanging="360"/>
      </w:pPr>
      <w:rPr>
        <w:rFonts w:ascii="Wingdings" w:hAnsi="Wingdings" w:hint="default"/>
      </w:rPr>
    </w:lvl>
    <w:lvl w:ilvl="3" w:tplc="AE9C3DD0">
      <w:start w:val="1"/>
      <w:numFmt w:val="bullet"/>
      <w:lvlText w:val=""/>
      <w:lvlJc w:val="left"/>
      <w:pPr>
        <w:ind w:left="2880" w:hanging="360"/>
      </w:pPr>
      <w:rPr>
        <w:rFonts w:ascii="Symbol" w:hAnsi="Symbol" w:hint="default"/>
      </w:rPr>
    </w:lvl>
    <w:lvl w:ilvl="4" w:tplc="B4B8A8E0">
      <w:start w:val="1"/>
      <w:numFmt w:val="bullet"/>
      <w:lvlText w:val="o"/>
      <w:lvlJc w:val="left"/>
      <w:pPr>
        <w:ind w:left="3600" w:hanging="360"/>
      </w:pPr>
      <w:rPr>
        <w:rFonts w:ascii="Courier New" w:hAnsi="Courier New" w:hint="default"/>
      </w:rPr>
    </w:lvl>
    <w:lvl w:ilvl="5" w:tplc="329AC426">
      <w:start w:val="1"/>
      <w:numFmt w:val="bullet"/>
      <w:lvlText w:val=""/>
      <w:lvlJc w:val="left"/>
      <w:pPr>
        <w:ind w:left="4320" w:hanging="360"/>
      </w:pPr>
      <w:rPr>
        <w:rFonts w:ascii="Wingdings" w:hAnsi="Wingdings" w:hint="default"/>
      </w:rPr>
    </w:lvl>
    <w:lvl w:ilvl="6" w:tplc="9920E694">
      <w:start w:val="1"/>
      <w:numFmt w:val="bullet"/>
      <w:lvlText w:val=""/>
      <w:lvlJc w:val="left"/>
      <w:pPr>
        <w:ind w:left="5040" w:hanging="360"/>
      </w:pPr>
      <w:rPr>
        <w:rFonts w:ascii="Symbol" w:hAnsi="Symbol" w:hint="default"/>
      </w:rPr>
    </w:lvl>
    <w:lvl w:ilvl="7" w:tplc="69D0DE3A">
      <w:start w:val="1"/>
      <w:numFmt w:val="bullet"/>
      <w:lvlText w:val="o"/>
      <w:lvlJc w:val="left"/>
      <w:pPr>
        <w:ind w:left="5760" w:hanging="360"/>
      </w:pPr>
      <w:rPr>
        <w:rFonts w:ascii="Courier New" w:hAnsi="Courier New" w:hint="default"/>
      </w:rPr>
    </w:lvl>
    <w:lvl w:ilvl="8" w:tplc="E83E5736">
      <w:start w:val="1"/>
      <w:numFmt w:val="bullet"/>
      <w:lvlText w:val=""/>
      <w:lvlJc w:val="left"/>
      <w:pPr>
        <w:ind w:left="6480" w:hanging="360"/>
      </w:pPr>
      <w:rPr>
        <w:rFonts w:ascii="Wingdings" w:hAnsi="Wingdings" w:hint="default"/>
      </w:rPr>
    </w:lvl>
  </w:abstractNum>
  <w:abstractNum w:abstractNumId="5" w15:restartNumberingAfterBreak="0">
    <w:nsid w:val="33CB3DEE"/>
    <w:multiLevelType w:val="hybridMultilevel"/>
    <w:tmpl w:val="FFFFFFFF"/>
    <w:lvl w:ilvl="0" w:tplc="3D5C7D66">
      <w:start w:val="1"/>
      <w:numFmt w:val="bullet"/>
      <w:lvlText w:val="·"/>
      <w:lvlJc w:val="left"/>
      <w:pPr>
        <w:ind w:left="720" w:hanging="360"/>
      </w:pPr>
      <w:rPr>
        <w:rFonts w:ascii="Symbol" w:hAnsi="Symbol" w:hint="default"/>
      </w:rPr>
    </w:lvl>
    <w:lvl w:ilvl="1" w:tplc="31700F02">
      <w:start w:val="1"/>
      <w:numFmt w:val="bullet"/>
      <w:lvlText w:val="o"/>
      <w:lvlJc w:val="left"/>
      <w:pPr>
        <w:ind w:left="1440" w:hanging="360"/>
      </w:pPr>
      <w:rPr>
        <w:rFonts w:ascii="Courier New" w:hAnsi="Courier New" w:hint="default"/>
      </w:rPr>
    </w:lvl>
    <w:lvl w:ilvl="2" w:tplc="1D50C696">
      <w:start w:val="1"/>
      <w:numFmt w:val="bullet"/>
      <w:lvlText w:val=""/>
      <w:lvlJc w:val="left"/>
      <w:pPr>
        <w:ind w:left="2160" w:hanging="360"/>
      </w:pPr>
      <w:rPr>
        <w:rFonts w:ascii="Wingdings" w:hAnsi="Wingdings" w:hint="default"/>
      </w:rPr>
    </w:lvl>
    <w:lvl w:ilvl="3" w:tplc="FA7E6BBC">
      <w:start w:val="1"/>
      <w:numFmt w:val="bullet"/>
      <w:lvlText w:val=""/>
      <w:lvlJc w:val="left"/>
      <w:pPr>
        <w:ind w:left="2880" w:hanging="360"/>
      </w:pPr>
      <w:rPr>
        <w:rFonts w:ascii="Symbol" w:hAnsi="Symbol" w:hint="default"/>
      </w:rPr>
    </w:lvl>
    <w:lvl w:ilvl="4" w:tplc="6C427EB2">
      <w:start w:val="1"/>
      <w:numFmt w:val="bullet"/>
      <w:lvlText w:val="o"/>
      <w:lvlJc w:val="left"/>
      <w:pPr>
        <w:ind w:left="3600" w:hanging="360"/>
      </w:pPr>
      <w:rPr>
        <w:rFonts w:ascii="Courier New" w:hAnsi="Courier New" w:hint="default"/>
      </w:rPr>
    </w:lvl>
    <w:lvl w:ilvl="5" w:tplc="134E11D4">
      <w:start w:val="1"/>
      <w:numFmt w:val="bullet"/>
      <w:lvlText w:val=""/>
      <w:lvlJc w:val="left"/>
      <w:pPr>
        <w:ind w:left="4320" w:hanging="360"/>
      </w:pPr>
      <w:rPr>
        <w:rFonts w:ascii="Wingdings" w:hAnsi="Wingdings" w:hint="default"/>
      </w:rPr>
    </w:lvl>
    <w:lvl w:ilvl="6" w:tplc="6F2C4978">
      <w:start w:val="1"/>
      <w:numFmt w:val="bullet"/>
      <w:lvlText w:val=""/>
      <w:lvlJc w:val="left"/>
      <w:pPr>
        <w:ind w:left="5040" w:hanging="360"/>
      </w:pPr>
      <w:rPr>
        <w:rFonts w:ascii="Symbol" w:hAnsi="Symbol" w:hint="default"/>
      </w:rPr>
    </w:lvl>
    <w:lvl w:ilvl="7" w:tplc="F24CE1DA">
      <w:start w:val="1"/>
      <w:numFmt w:val="bullet"/>
      <w:lvlText w:val="o"/>
      <w:lvlJc w:val="left"/>
      <w:pPr>
        <w:ind w:left="5760" w:hanging="360"/>
      </w:pPr>
      <w:rPr>
        <w:rFonts w:ascii="Courier New" w:hAnsi="Courier New" w:hint="default"/>
      </w:rPr>
    </w:lvl>
    <w:lvl w:ilvl="8" w:tplc="1B18E5B0">
      <w:start w:val="1"/>
      <w:numFmt w:val="bullet"/>
      <w:lvlText w:val=""/>
      <w:lvlJc w:val="left"/>
      <w:pPr>
        <w:ind w:left="6480" w:hanging="360"/>
      </w:pPr>
      <w:rPr>
        <w:rFonts w:ascii="Wingdings" w:hAnsi="Wingdings" w:hint="default"/>
      </w:rPr>
    </w:lvl>
  </w:abstractNum>
  <w:abstractNum w:abstractNumId="6" w15:restartNumberingAfterBreak="0">
    <w:nsid w:val="341E269D"/>
    <w:multiLevelType w:val="hybridMultilevel"/>
    <w:tmpl w:val="01E0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9745D"/>
    <w:multiLevelType w:val="hybridMultilevel"/>
    <w:tmpl w:val="AF5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F3155"/>
    <w:multiLevelType w:val="hybridMultilevel"/>
    <w:tmpl w:val="8A28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06328"/>
    <w:multiLevelType w:val="hybridMultilevel"/>
    <w:tmpl w:val="9014D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05770"/>
    <w:multiLevelType w:val="hybridMultilevel"/>
    <w:tmpl w:val="330E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C92D73"/>
    <w:multiLevelType w:val="hybridMultilevel"/>
    <w:tmpl w:val="840EAAD4"/>
    <w:lvl w:ilvl="0" w:tplc="30D48CB8">
      <w:start w:val="1"/>
      <w:numFmt w:val="bullet"/>
      <w:lvlText w:val=""/>
      <w:lvlJc w:val="left"/>
      <w:pPr>
        <w:ind w:left="720" w:hanging="360"/>
      </w:pPr>
      <w:rPr>
        <w:rFonts w:ascii="Symbol" w:hAnsi="Symbol" w:hint="default"/>
      </w:rPr>
    </w:lvl>
    <w:lvl w:ilvl="1" w:tplc="E36C4BB0">
      <w:start w:val="1"/>
      <w:numFmt w:val="bullet"/>
      <w:lvlText w:val="o"/>
      <w:lvlJc w:val="left"/>
      <w:pPr>
        <w:ind w:left="1440" w:hanging="360"/>
      </w:pPr>
      <w:rPr>
        <w:rFonts w:ascii="Courier New" w:hAnsi="Courier New" w:cs="Courier New" w:hint="default"/>
      </w:rPr>
    </w:lvl>
    <w:lvl w:ilvl="2" w:tplc="0A9E9C40">
      <w:start w:val="1"/>
      <w:numFmt w:val="bullet"/>
      <w:lvlText w:val=""/>
      <w:lvlJc w:val="left"/>
      <w:pPr>
        <w:ind w:left="2160" w:hanging="360"/>
      </w:pPr>
      <w:rPr>
        <w:rFonts w:ascii="Wingdings" w:hAnsi="Wingdings" w:hint="default"/>
      </w:rPr>
    </w:lvl>
    <w:lvl w:ilvl="3" w:tplc="D75682FE">
      <w:start w:val="1"/>
      <w:numFmt w:val="bullet"/>
      <w:lvlText w:val=""/>
      <w:lvlJc w:val="left"/>
      <w:pPr>
        <w:ind w:left="2880" w:hanging="360"/>
      </w:pPr>
      <w:rPr>
        <w:rFonts w:ascii="Symbol" w:hAnsi="Symbol" w:hint="default"/>
      </w:rPr>
    </w:lvl>
    <w:lvl w:ilvl="4" w:tplc="C31C83AE">
      <w:start w:val="1"/>
      <w:numFmt w:val="bullet"/>
      <w:lvlText w:val="o"/>
      <w:lvlJc w:val="left"/>
      <w:pPr>
        <w:ind w:left="3600" w:hanging="360"/>
      </w:pPr>
      <w:rPr>
        <w:rFonts w:ascii="Courier New" w:hAnsi="Courier New" w:cs="Courier New" w:hint="default"/>
      </w:rPr>
    </w:lvl>
    <w:lvl w:ilvl="5" w:tplc="3662CF64">
      <w:start w:val="1"/>
      <w:numFmt w:val="bullet"/>
      <w:lvlText w:val=""/>
      <w:lvlJc w:val="left"/>
      <w:pPr>
        <w:ind w:left="4320" w:hanging="360"/>
      </w:pPr>
      <w:rPr>
        <w:rFonts w:ascii="Wingdings" w:hAnsi="Wingdings" w:hint="default"/>
      </w:rPr>
    </w:lvl>
    <w:lvl w:ilvl="6" w:tplc="A8266660">
      <w:start w:val="1"/>
      <w:numFmt w:val="bullet"/>
      <w:lvlText w:val=""/>
      <w:lvlJc w:val="left"/>
      <w:pPr>
        <w:ind w:left="5040" w:hanging="360"/>
      </w:pPr>
      <w:rPr>
        <w:rFonts w:ascii="Symbol" w:hAnsi="Symbol" w:hint="default"/>
      </w:rPr>
    </w:lvl>
    <w:lvl w:ilvl="7" w:tplc="EFAE97C4">
      <w:start w:val="1"/>
      <w:numFmt w:val="bullet"/>
      <w:lvlText w:val="o"/>
      <w:lvlJc w:val="left"/>
      <w:pPr>
        <w:ind w:left="5760" w:hanging="360"/>
      </w:pPr>
      <w:rPr>
        <w:rFonts w:ascii="Courier New" w:hAnsi="Courier New" w:cs="Courier New" w:hint="default"/>
      </w:rPr>
    </w:lvl>
    <w:lvl w:ilvl="8" w:tplc="E1529E20">
      <w:start w:val="1"/>
      <w:numFmt w:val="bullet"/>
      <w:lvlText w:val=""/>
      <w:lvlJc w:val="left"/>
      <w:pPr>
        <w:ind w:left="6480" w:hanging="360"/>
      </w:pPr>
      <w:rPr>
        <w:rFonts w:ascii="Wingdings" w:hAnsi="Wingdings" w:hint="default"/>
      </w:rPr>
    </w:lvl>
  </w:abstractNum>
  <w:abstractNum w:abstractNumId="12" w15:restartNumberingAfterBreak="0">
    <w:nsid w:val="74B502EC"/>
    <w:multiLevelType w:val="hybridMultilevel"/>
    <w:tmpl w:val="082C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34776"/>
    <w:multiLevelType w:val="hybridMultilevel"/>
    <w:tmpl w:val="5C0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2"/>
  </w:num>
  <w:num w:numId="5">
    <w:abstractNumId w:val="7"/>
  </w:num>
  <w:num w:numId="6">
    <w:abstractNumId w:val="0"/>
  </w:num>
  <w:num w:numId="7">
    <w:abstractNumId w:val="6"/>
  </w:num>
  <w:num w:numId="8">
    <w:abstractNumId w:val="3"/>
  </w:num>
  <w:num w:numId="9">
    <w:abstractNumId w:val="3"/>
  </w:num>
  <w:num w:numId="10">
    <w:abstractNumId w:val="5"/>
  </w:num>
  <w:num w:numId="11">
    <w:abstractNumId w:val="13"/>
  </w:num>
  <w:num w:numId="12">
    <w:abstractNumId w:val="10"/>
  </w:num>
  <w:num w:numId="13">
    <w:abstractNumId w:val="6"/>
  </w:num>
  <w:num w:numId="14">
    <w:abstractNumId w:val="0"/>
  </w:num>
  <w:num w:numId="15">
    <w:abstractNumId w:val="9"/>
  </w:num>
  <w:num w:numId="16">
    <w:abstractNumId w:val="9"/>
  </w:num>
  <w:num w:numId="17">
    <w:abstractNumId w:val="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D3"/>
    <w:rsid w:val="00001FD6"/>
    <w:rsid w:val="00012A4D"/>
    <w:rsid w:val="00013119"/>
    <w:rsid w:val="00013CFA"/>
    <w:rsid w:val="00013FB1"/>
    <w:rsid w:val="00021C7C"/>
    <w:rsid w:val="000220E8"/>
    <w:rsid w:val="00022B55"/>
    <w:rsid w:val="00023D1D"/>
    <w:rsid w:val="00024D9A"/>
    <w:rsid w:val="000258F1"/>
    <w:rsid w:val="000262AD"/>
    <w:rsid w:val="00026771"/>
    <w:rsid w:val="00027E42"/>
    <w:rsid w:val="0003075E"/>
    <w:rsid w:val="00030975"/>
    <w:rsid w:val="000345A2"/>
    <w:rsid w:val="0004094C"/>
    <w:rsid w:val="00044C07"/>
    <w:rsid w:val="00045905"/>
    <w:rsid w:val="00052C58"/>
    <w:rsid w:val="00053267"/>
    <w:rsid w:val="00060093"/>
    <w:rsid w:val="00062826"/>
    <w:rsid w:val="00067AC3"/>
    <w:rsid w:val="000720BA"/>
    <w:rsid w:val="00072E51"/>
    <w:rsid w:val="00074D92"/>
    <w:rsid w:val="00076D76"/>
    <w:rsid w:val="00076F18"/>
    <w:rsid w:val="000801FE"/>
    <w:rsid w:val="00081ED6"/>
    <w:rsid w:val="0008483A"/>
    <w:rsid w:val="00084CE0"/>
    <w:rsid w:val="00086C9E"/>
    <w:rsid w:val="00087D91"/>
    <w:rsid w:val="000902F9"/>
    <w:rsid w:val="00090445"/>
    <w:rsid w:val="00090583"/>
    <w:rsid w:val="00090931"/>
    <w:rsid w:val="00097208"/>
    <w:rsid w:val="00097217"/>
    <w:rsid w:val="000A256E"/>
    <w:rsid w:val="000A3BAA"/>
    <w:rsid w:val="000A76BD"/>
    <w:rsid w:val="000C6206"/>
    <w:rsid w:val="000C7696"/>
    <w:rsid w:val="000C7C9D"/>
    <w:rsid w:val="000D0C8B"/>
    <w:rsid w:val="000D1C6F"/>
    <w:rsid w:val="000D5C48"/>
    <w:rsid w:val="000E37BE"/>
    <w:rsid w:val="000E6902"/>
    <w:rsid w:val="000E71D2"/>
    <w:rsid w:val="000F4C03"/>
    <w:rsid w:val="00100A60"/>
    <w:rsid w:val="00102B73"/>
    <w:rsid w:val="00103704"/>
    <w:rsid w:val="00106465"/>
    <w:rsid w:val="0010773B"/>
    <w:rsid w:val="0011179B"/>
    <w:rsid w:val="00116047"/>
    <w:rsid w:val="0011607C"/>
    <w:rsid w:val="001227C2"/>
    <w:rsid w:val="0012310A"/>
    <w:rsid w:val="00125D1C"/>
    <w:rsid w:val="00131B45"/>
    <w:rsid w:val="00137A58"/>
    <w:rsid w:val="001400A4"/>
    <w:rsid w:val="001427DE"/>
    <w:rsid w:val="001428DB"/>
    <w:rsid w:val="001453A9"/>
    <w:rsid w:val="0014549B"/>
    <w:rsid w:val="0014595D"/>
    <w:rsid w:val="00152848"/>
    <w:rsid w:val="00153D3E"/>
    <w:rsid w:val="00154403"/>
    <w:rsid w:val="00154FAC"/>
    <w:rsid w:val="00155C84"/>
    <w:rsid w:val="0015748B"/>
    <w:rsid w:val="00162E83"/>
    <w:rsid w:val="00166853"/>
    <w:rsid w:val="00170D99"/>
    <w:rsid w:val="001743EC"/>
    <w:rsid w:val="0017463E"/>
    <w:rsid w:val="0017639F"/>
    <w:rsid w:val="00176DC0"/>
    <w:rsid w:val="00180AD9"/>
    <w:rsid w:val="00182A2B"/>
    <w:rsid w:val="0018304B"/>
    <w:rsid w:val="0018338F"/>
    <w:rsid w:val="001856AE"/>
    <w:rsid w:val="00185B19"/>
    <w:rsid w:val="00186478"/>
    <w:rsid w:val="0019238E"/>
    <w:rsid w:val="001930AA"/>
    <w:rsid w:val="00194DD1"/>
    <w:rsid w:val="0019561E"/>
    <w:rsid w:val="00195760"/>
    <w:rsid w:val="001A0846"/>
    <w:rsid w:val="001A3737"/>
    <w:rsid w:val="001A519D"/>
    <w:rsid w:val="001B1936"/>
    <w:rsid w:val="001C03D2"/>
    <w:rsid w:val="001C23E4"/>
    <w:rsid w:val="001C54E1"/>
    <w:rsid w:val="001C66A9"/>
    <w:rsid w:val="001D2BB9"/>
    <w:rsid w:val="001D2D9F"/>
    <w:rsid w:val="001D663B"/>
    <w:rsid w:val="001D7277"/>
    <w:rsid w:val="001E1476"/>
    <w:rsid w:val="001E2A17"/>
    <w:rsid w:val="001F0994"/>
    <w:rsid w:val="001F10CE"/>
    <w:rsid w:val="001F1FB0"/>
    <w:rsid w:val="001F2ED0"/>
    <w:rsid w:val="001F38D2"/>
    <w:rsid w:val="001F4C01"/>
    <w:rsid w:val="00200DAA"/>
    <w:rsid w:val="00203FC9"/>
    <w:rsid w:val="00204C1E"/>
    <w:rsid w:val="00206AE9"/>
    <w:rsid w:val="00210121"/>
    <w:rsid w:val="00210D2E"/>
    <w:rsid w:val="00214836"/>
    <w:rsid w:val="00215954"/>
    <w:rsid w:val="00220D1B"/>
    <w:rsid w:val="002228B3"/>
    <w:rsid w:val="00223305"/>
    <w:rsid w:val="00224CF5"/>
    <w:rsid w:val="00232351"/>
    <w:rsid w:val="00234DED"/>
    <w:rsid w:val="00236C72"/>
    <w:rsid w:val="00240248"/>
    <w:rsid w:val="00240B5F"/>
    <w:rsid w:val="002418EC"/>
    <w:rsid w:val="00243AF1"/>
    <w:rsid w:val="0024437E"/>
    <w:rsid w:val="00244ED2"/>
    <w:rsid w:val="00246605"/>
    <w:rsid w:val="00250F7A"/>
    <w:rsid w:val="002518DA"/>
    <w:rsid w:val="00256874"/>
    <w:rsid w:val="00256B36"/>
    <w:rsid w:val="00263F2A"/>
    <w:rsid w:val="00266784"/>
    <w:rsid w:val="00272A5B"/>
    <w:rsid w:val="00281FF0"/>
    <w:rsid w:val="00282457"/>
    <w:rsid w:val="00284D7D"/>
    <w:rsid w:val="00290EBB"/>
    <w:rsid w:val="00291AFF"/>
    <w:rsid w:val="00292773"/>
    <w:rsid w:val="00293896"/>
    <w:rsid w:val="0029456E"/>
    <w:rsid w:val="00295592"/>
    <w:rsid w:val="0029590C"/>
    <w:rsid w:val="00297C68"/>
    <w:rsid w:val="002A0090"/>
    <w:rsid w:val="002A061B"/>
    <w:rsid w:val="002A12EC"/>
    <w:rsid w:val="002A3A96"/>
    <w:rsid w:val="002A408D"/>
    <w:rsid w:val="002A6D5C"/>
    <w:rsid w:val="002A7D0C"/>
    <w:rsid w:val="002B5384"/>
    <w:rsid w:val="002B59B6"/>
    <w:rsid w:val="002B63F1"/>
    <w:rsid w:val="002C3FA5"/>
    <w:rsid w:val="002C510C"/>
    <w:rsid w:val="002C6709"/>
    <w:rsid w:val="002C722B"/>
    <w:rsid w:val="002C7F87"/>
    <w:rsid w:val="002D2021"/>
    <w:rsid w:val="002D2BFA"/>
    <w:rsid w:val="002D3700"/>
    <w:rsid w:val="002D46AA"/>
    <w:rsid w:val="002D4CCE"/>
    <w:rsid w:val="002D74FB"/>
    <w:rsid w:val="002D7C93"/>
    <w:rsid w:val="002E0291"/>
    <w:rsid w:val="002E3DC2"/>
    <w:rsid w:val="002E5B51"/>
    <w:rsid w:val="002F07D0"/>
    <w:rsid w:val="002F2E32"/>
    <w:rsid w:val="002F35B2"/>
    <w:rsid w:val="002F7082"/>
    <w:rsid w:val="0030413A"/>
    <w:rsid w:val="00304170"/>
    <w:rsid w:val="00304865"/>
    <w:rsid w:val="00305C06"/>
    <w:rsid w:val="003132D6"/>
    <w:rsid w:val="00313392"/>
    <w:rsid w:val="00313EF6"/>
    <w:rsid w:val="00316FD2"/>
    <w:rsid w:val="00317E56"/>
    <w:rsid w:val="0032050C"/>
    <w:rsid w:val="00322C14"/>
    <w:rsid w:val="00323A99"/>
    <w:rsid w:val="003246D6"/>
    <w:rsid w:val="00331B3B"/>
    <w:rsid w:val="00340C0D"/>
    <w:rsid w:val="003410DD"/>
    <w:rsid w:val="00341735"/>
    <w:rsid w:val="00341753"/>
    <w:rsid w:val="00351A9B"/>
    <w:rsid w:val="003526FD"/>
    <w:rsid w:val="00352F8F"/>
    <w:rsid w:val="00352FCB"/>
    <w:rsid w:val="003557AD"/>
    <w:rsid w:val="00355D06"/>
    <w:rsid w:val="003627A1"/>
    <w:rsid w:val="00362B8A"/>
    <w:rsid w:val="00365AFF"/>
    <w:rsid w:val="00372C61"/>
    <w:rsid w:val="00377098"/>
    <w:rsid w:val="00377DCD"/>
    <w:rsid w:val="00381629"/>
    <w:rsid w:val="00383EBE"/>
    <w:rsid w:val="00385CA0"/>
    <w:rsid w:val="00386C96"/>
    <w:rsid w:val="00387F7F"/>
    <w:rsid w:val="00390CCA"/>
    <w:rsid w:val="0039387D"/>
    <w:rsid w:val="00394DBF"/>
    <w:rsid w:val="00395769"/>
    <w:rsid w:val="00395FAB"/>
    <w:rsid w:val="003A0598"/>
    <w:rsid w:val="003A0C40"/>
    <w:rsid w:val="003A3EA2"/>
    <w:rsid w:val="003A5DB8"/>
    <w:rsid w:val="003C1A2C"/>
    <w:rsid w:val="003C26A9"/>
    <w:rsid w:val="003C61CA"/>
    <w:rsid w:val="003C7A8B"/>
    <w:rsid w:val="003D2581"/>
    <w:rsid w:val="003D467B"/>
    <w:rsid w:val="003D7AA3"/>
    <w:rsid w:val="003E0D25"/>
    <w:rsid w:val="003E0F90"/>
    <w:rsid w:val="003E34CE"/>
    <w:rsid w:val="003E34D7"/>
    <w:rsid w:val="003E483A"/>
    <w:rsid w:val="003E639E"/>
    <w:rsid w:val="003E6936"/>
    <w:rsid w:val="003E771C"/>
    <w:rsid w:val="003F5122"/>
    <w:rsid w:val="003F6875"/>
    <w:rsid w:val="003F6C56"/>
    <w:rsid w:val="0040363B"/>
    <w:rsid w:val="004039E0"/>
    <w:rsid w:val="0040588A"/>
    <w:rsid w:val="0040691D"/>
    <w:rsid w:val="00407C48"/>
    <w:rsid w:val="004105FF"/>
    <w:rsid w:val="00411B53"/>
    <w:rsid w:val="004163F6"/>
    <w:rsid w:val="00422387"/>
    <w:rsid w:val="00423F46"/>
    <w:rsid w:val="00425DA6"/>
    <w:rsid w:val="004267F4"/>
    <w:rsid w:val="004274A1"/>
    <w:rsid w:val="00427CD2"/>
    <w:rsid w:val="00430752"/>
    <w:rsid w:val="004329E6"/>
    <w:rsid w:val="00435B13"/>
    <w:rsid w:val="00442C91"/>
    <w:rsid w:val="00442E0C"/>
    <w:rsid w:val="00446552"/>
    <w:rsid w:val="00446AB7"/>
    <w:rsid w:val="0045224E"/>
    <w:rsid w:val="00455891"/>
    <w:rsid w:val="0046057C"/>
    <w:rsid w:val="00461870"/>
    <w:rsid w:val="00466519"/>
    <w:rsid w:val="00472ECE"/>
    <w:rsid w:val="00474802"/>
    <w:rsid w:val="00474890"/>
    <w:rsid w:val="00480BD6"/>
    <w:rsid w:val="00481362"/>
    <w:rsid w:val="004814F2"/>
    <w:rsid w:val="004833B5"/>
    <w:rsid w:val="0048341E"/>
    <w:rsid w:val="004844C0"/>
    <w:rsid w:val="00484B25"/>
    <w:rsid w:val="00486B9D"/>
    <w:rsid w:val="00491D81"/>
    <w:rsid w:val="00493361"/>
    <w:rsid w:val="004953E3"/>
    <w:rsid w:val="00496D55"/>
    <w:rsid w:val="004A0015"/>
    <w:rsid w:val="004A4636"/>
    <w:rsid w:val="004A496C"/>
    <w:rsid w:val="004A6D2C"/>
    <w:rsid w:val="004A792B"/>
    <w:rsid w:val="004B010D"/>
    <w:rsid w:val="004B3A50"/>
    <w:rsid w:val="004B3C9A"/>
    <w:rsid w:val="004B462B"/>
    <w:rsid w:val="004C04F6"/>
    <w:rsid w:val="004C2135"/>
    <w:rsid w:val="004C2B6B"/>
    <w:rsid w:val="004C2F81"/>
    <w:rsid w:val="004C3ED4"/>
    <w:rsid w:val="004C70BD"/>
    <w:rsid w:val="004C7F2B"/>
    <w:rsid w:val="004C7F6B"/>
    <w:rsid w:val="004D035D"/>
    <w:rsid w:val="004D0A3A"/>
    <w:rsid w:val="004D1C61"/>
    <w:rsid w:val="004D3AFF"/>
    <w:rsid w:val="004D4A8D"/>
    <w:rsid w:val="004E078E"/>
    <w:rsid w:val="004E19EF"/>
    <w:rsid w:val="004E24D5"/>
    <w:rsid w:val="004E28F6"/>
    <w:rsid w:val="004F0499"/>
    <w:rsid w:val="004F210A"/>
    <w:rsid w:val="004F570D"/>
    <w:rsid w:val="004F7405"/>
    <w:rsid w:val="00500C09"/>
    <w:rsid w:val="00501B28"/>
    <w:rsid w:val="00502824"/>
    <w:rsid w:val="0051099C"/>
    <w:rsid w:val="00511630"/>
    <w:rsid w:val="00514E24"/>
    <w:rsid w:val="00521024"/>
    <w:rsid w:val="00522837"/>
    <w:rsid w:val="0052448D"/>
    <w:rsid w:val="005247F1"/>
    <w:rsid w:val="00525E7F"/>
    <w:rsid w:val="00531C4B"/>
    <w:rsid w:val="00534B4A"/>
    <w:rsid w:val="005360E2"/>
    <w:rsid w:val="005404CA"/>
    <w:rsid w:val="00540FA7"/>
    <w:rsid w:val="005438C1"/>
    <w:rsid w:val="005442A7"/>
    <w:rsid w:val="00544764"/>
    <w:rsid w:val="00552D93"/>
    <w:rsid w:val="005548BD"/>
    <w:rsid w:val="00555CC2"/>
    <w:rsid w:val="00556F71"/>
    <w:rsid w:val="00560DE0"/>
    <w:rsid w:val="00567CD5"/>
    <w:rsid w:val="00571F4C"/>
    <w:rsid w:val="0057517A"/>
    <w:rsid w:val="005827D4"/>
    <w:rsid w:val="00586BE3"/>
    <w:rsid w:val="005873EB"/>
    <w:rsid w:val="00587798"/>
    <w:rsid w:val="00595387"/>
    <w:rsid w:val="00595C80"/>
    <w:rsid w:val="00595DA9"/>
    <w:rsid w:val="005965B6"/>
    <w:rsid w:val="005976D8"/>
    <w:rsid w:val="005A15F5"/>
    <w:rsid w:val="005A3616"/>
    <w:rsid w:val="005A5C9E"/>
    <w:rsid w:val="005A612B"/>
    <w:rsid w:val="005A6FDC"/>
    <w:rsid w:val="005B0931"/>
    <w:rsid w:val="005B1512"/>
    <w:rsid w:val="005B3A34"/>
    <w:rsid w:val="005B4B1C"/>
    <w:rsid w:val="005B4FE7"/>
    <w:rsid w:val="005B62DD"/>
    <w:rsid w:val="005B7280"/>
    <w:rsid w:val="005B7501"/>
    <w:rsid w:val="005C0269"/>
    <w:rsid w:val="005C77E1"/>
    <w:rsid w:val="005D5146"/>
    <w:rsid w:val="005D65AC"/>
    <w:rsid w:val="005E11BE"/>
    <w:rsid w:val="005E48D3"/>
    <w:rsid w:val="005E63EF"/>
    <w:rsid w:val="005F2FA2"/>
    <w:rsid w:val="005F3EC7"/>
    <w:rsid w:val="005F7186"/>
    <w:rsid w:val="00601B64"/>
    <w:rsid w:val="00607592"/>
    <w:rsid w:val="00610052"/>
    <w:rsid w:val="006124B9"/>
    <w:rsid w:val="00613599"/>
    <w:rsid w:val="00613949"/>
    <w:rsid w:val="006215A2"/>
    <w:rsid w:val="00622BAB"/>
    <w:rsid w:val="00624865"/>
    <w:rsid w:val="00626C13"/>
    <w:rsid w:val="00632C6E"/>
    <w:rsid w:val="00636191"/>
    <w:rsid w:val="00636977"/>
    <w:rsid w:val="00636B59"/>
    <w:rsid w:val="00637931"/>
    <w:rsid w:val="00654F49"/>
    <w:rsid w:val="00654F8B"/>
    <w:rsid w:val="00656378"/>
    <w:rsid w:val="00656749"/>
    <w:rsid w:val="00657B15"/>
    <w:rsid w:val="0066234D"/>
    <w:rsid w:val="00662350"/>
    <w:rsid w:val="006633E6"/>
    <w:rsid w:val="00666A49"/>
    <w:rsid w:val="00670213"/>
    <w:rsid w:val="00670AA4"/>
    <w:rsid w:val="0067324F"/>
    <w:rsid w:val="006734CF"/>
    <w:rsid w:val="00673A6A"/>
    <w:rsid w:val="00673CBF"/>
    <w:rsid w:val="006741DD"/>
    <w:rsid w:val="00682479"/>
    <w:rsid w:val="00682D18"/>
    <w:rsid w:val="0068321B"/>
    <w:rsid w:val="00683D1E"/>
    <w:rsid w:val="00685C54"/>
    <w:rsid w:val="0069042A"/>
    <w:rsid w:val="006906D5"/>
    <w:rsid w:val="00696449"/>
    <w:rsid w:val="0069693A"/>
    <w:rsid w:val="00697962"/>
    <w:rsid w:val="006A0011"/>
    <w:rsid w:val="006A120D"/>
    <w:rsid w:val="006B50FE"/>
    <w:rsid w:val="006B6661"/>
    <w:rsid w:val="006B6F82"/>
    <w:rsid w:val="006B7126"/>
    <w:rsid w:val="006B73FC"/>
    <w:rsid w:val="006C550E"/>
    <w:rsid w:val="006C5D26"/>
    <w:rsid w:val="006C5D3B"/>
    <w:rsid w:val="006D19A2"/>
    <w:rsid w:val="006D1B14"/>
    <w:rsid w:val="006D43D3"/>
    <w:rsid w:val="006E2B0C"/>
    <w:rsid w:val="006E5AB8"/>
    <w:rsid w:val="006E5B35"/>
    <w:rsid w:val="006E74C8"/>
    <w:rsid w:val="006E770A"/>
    <w:rsid w:val="006F25CF"/>
    <w:rsid w:val="006F4D72"/>
    <w:rsid w:val="006F5A38"/>
    <w:rsid w:val="00704A78"/>
    <w:rsid w:val="007065E9"/>
    <w:rsid w:val="007071C6"/>
    <w:rsid w:val="00711979"/>
    <w:rsid w:val="00714116"/>
    <w:rsid w:val="00716089"/>
    <w:rsid w:val="007164B6"/>
    <w:rsid w:val="00716A65"/>
    <w:rsid w:val="0072572B"/>
    <w:rsid w:val="007301EC"/>
    <w:rsid w:val="00731638"/>
    <w:rsid w:val="00745515"/>
    <w:rsid w:val="007526A2"/>
    <w:rsid w:val="0075512D"/>
    <w:rsid w:val="00761C81"/>
    <w:rsid w:val="00763881"/>
    <w:rsid w:val="00766320"/>
    <w:rsid w:val="00766844"/>
    <w:rsid w:val="00770B2A"/>
    <w:rsid w:val="00770C52"/>
    <w:rsid w:val="00771A9D"/>
    <w:rsid w:val="00774C35"/>
    <w:rsid w:val="007773F0"/>
    <w:rsid w:val="00780A3B"/>
    <w:rsid w:val="00781736"/>
    <w:rsid w:val="007827B7"/>
    <w:rsid w:val="00782ACB"/>
    <w:rsid w:val="00782C99"/>
    <w:rsid w:val="007831B1"/>
    <w:rsid w:val="00783767"/>
    <w:rsid w:val="00784ABD"/>
    <w:rsid w:val="00790923"/>
    <w:rsid w:val="00791F68"/>
    <w:rsid w:val="00792B42"/>
    <w:rsid w:val="00794DD3"/>
    <w:rsid w:val="0079526B"/>
    <w:rsid w:val="0079552C"/>
    <w:rsid w:val="00795B0F"/>
    <w:rsid w:val="0079600A"/>
    <w:rsid w:val="007A0DDB"/>
    <w:rsid w:val="007A6A61"/>
    <w:rsid w:val="007B0CAC"/>
    <w:rsid w:val="007B19F3"/>
    <w:rsid w:val="007B519A"/>
    <w:rsid w:val="007B59C0"/>
    <w:rsid w:val="007B719F"/>
    <w:rsid w:val="007B76F5"/>
    <w:rsid w:val="007C0BDD"/>
    <w:rsid w:val="007C3EC3"/>
    <w:rsid w:val="007C4794"/>
    <w:rsid w:val="007C4869"/>
    <w:rsid w:val="007C632F"/>
    <w:rsid w:val="007C7BB9"/>
    <w:rsid w:val="007D3010"/>
    <w:rsid w:val="007D52F0"/>
    <w:rsid w:val="007D64E6"/>
    <w:rsid w:val="007D6D51"/>
    <w:rsid w:val="007D7879"/>
    <w:rsid w:val="007D7FC5"/>
    <w:rsid w:val="007E01A2"/>
    <w:rsid w:val="007E3FEF"/>
    <w:rsid w:val="007E5321"/>
    <w:rsid w:val="007F6027"/>
    <w:rsid w:val="00800208"/>
    <w:rsid w:val="00804942"/>
    <w:rsid w:val="0080625B"/>
    <w:rsid w:val="0081301E"/>
    <w:rsid w:val="0081385F"/>
    <w:rsid w:val="008209F6"/>
    <w:rsid w:val="00826FA7"/>
    <w:rsid w:val="0082726F"/>
    <w:rsid w:val="00831C4A"/>
    <w:rsid w:val="00831ED3"/>
    <w:rsid w:val="00832932"/>
    <w:rsid w:val="008358B1"/>
    <w:rsid w:val="0083687A"/>
    <w:rsid w:val="008379B6"/>
    <w:rsid w:val="00842192"/>
    <w:rsid w:val="00842F39"/>
    <w:rsid w:val="00843A56"/>
    <w:rsid w:val="00845A93"/>
    <w:rsid w:val="0085024D"/>
    <w:rsid w:val="00850D43"/>
    <w:rsid w:val="00852A98"/>
    <w:rsid w:val="00854C03"/>
    <w:rsid w:val="008565F0"/>
    <w:rsid w:val="00861A0E"/>
    <w:rsid w:val="0086459C"/>
    <w:rsid w:val="00864B60"/>
    <w:rsid w:val="008665DD"/>
    <w:rsid w:val="0086742D"/>
    <w:rsid w:val="0087044F"/>
    <w:rsid w:val="008714D5"/>
    <w:rsid w:val="00871C07"/>
    <w:rsid w:val="00871DFC"/>
    <w:rsid w:val="00876498"/>
    <w:rsid w:val="00880F76"/>
    <w:rsid w:val="00881E7C"/>
    <w:rsid w:val="00884583"/>
    <w:rsid w:val="0089080B"/>
    <w:rsid w:val="00893892"/>
    <w:rsid w:val="00896C14"/>
    <w:rsid w:val="008A1A3E"/>
    <w:rsid w:val="008A5C9C"/>
    <w:rsid w:val="008A6EFC"/>
    <w:rsid w:val="008A6F04"/>
    <w:rsid w:val="008A73B8"/>
    <w:rsid w:val="008A7C0D"/>
    <w:rsid w:val="008B05F7"/>
    <w:rsid w:val="008B51AA"/>
    <w:rsid w:val="008B7681"/>
    <w:rsid w:val="008C02AB"/>
    <w:rsid w:val="008C5EF5"/>
    <w:rsid w:val="008C6EA7"/>
    <w:rsid w:val="008D4C9B"/>
    <w:rsid w:val="008D635E"/>
    <w:rsid w:val="008E05A7"/>
    <w:rsid w:val="008E1999"/>
    <w:rsid w:val="008E7297"/>
    <w:rsid w:val="008E7D8D"/>
    <w:rsid w:val="008F18D4"/>
    <w:rsid w:val="008F6811"/>
    <w:rsid w:val="008F737F"/>
    <w:rsid w:val="008F7C27"/>
    <w:rsid w:val="009066FC"/>
    <w:rsid w:val="009074A6"/>
    <w:rsid w:val="00907698"/>
    <w:rsid w:val="009076C0"/>
    <w:rsid w:val="00907FE3"/>
    <w:rsid w:val="00910DFC"/>
    <w:rsid w:val="00912488"/>
    <w:rsid w:val="00914B0A"/>
    <w:rsid w:val="009153FF"/>
    <w:rsid w:val="009159C8"/>
    <w:rsid w:val="0091652D"/>
    <w:rsid w:val="0091738B"/>
    <w:rsid w:val="0092050E"/>
    <w:rsid w:val="00923A93"/>
    <w:rsid w:val="00926DF5"/>
    <w:rsid w:val="00930B30"/>
    <w:rsid w:val="0093384E"/>
    <w:rsid w:val="00933D2D"/>
    <w:rsid w:val="009353A8"/>
    <w:rsid w:val="00935A01"/>
    <w:rsid w:val="00936377"/>
    <w:rsid w:val="0093699D"/>
    <w:rsid w:val="00936D28"/>
    <w:rsid w:val="0094146C"/>
    <w:rsid w:val="00943BBE"/>
    <w:rsid w:val="00945F5F"/>
    <w:rsid w:val="00947C33"/>
    <w:rsid w:val="00953E91"/>
    <w:rsid w:val="009540CC"/>
    <w:rsid w:val="00954E26"/>
    <w:rsid w:val="00954F30"/>
    <w:rsid w:val="009619DB"/>
    <w:rsid w:val="00961D95"/>
    <w:rsid w:val="009623F8"/>
    <w:rsid w:val="009634B7"/>
    <w:rsid w:val="009643BC"/>
    <w:rsid w:val="00964A4C"/>
    <w:rsid w:val="00964AA2"/>
    <w:rsid w:val="00964C22"/>
    <w:rsid w:val="00965747"/>
    <w:rsid w:val="00965812"/>
    <w:rsid w:val="009665FF"/>
    <w:rsid w:val="00966600"/>
    <w:rsid w:val="00966B1A"/>
    <w:rsid w:val="009670D9"/>
    <w:rsid w:val="00967192"/>
    <w:rsid w:val="009722F4"/>
    <w:rsid w:val="009758C1"/>
    <w:rsid w:val="0097735E"/>
    <w:rsid w:val="009816D1"/>
    <w:rsid w:val="00983444"/>
    <w:rsid w:val="0098407F"/>
    <w:rsid w:val="00987386"/>
    <w:rsid w:val="00990045"/>
    <w:rsid w:val="00995873"/>
    <w:rsid w:val="009966CC"/>
    <w:rsid w:val="009A0A0B"/>
    <w:rsid w:val="009A0AED"/>
    <w:rsid w:val="009A1B38"/>
    <w:rsid w:val="009A2353"/>
    <w:rsid w:val="009A3C6D"/>
    <w:rsid w:val="009B19E9"/>
    <w:rsid w:val="009B3448"/>
    <w:rsid w:val="009B576D"/>
    <w:rsid w:val="009B7AEE"/>
    <w:rsid w:val="009C2ACA"/>
    <w:rsid w:val="009C369F"/>
    <w:rsid w:val="009C41B2"/>
    <w:rsid w:val="009C487D"/>
    <w:rsid w:val="009C5819"/>
    <w:rsid w:val="009C74ED"/>
    <w:rsid w:val="009D06BB"/>
    <w:rsid w:val="009E05C9"/>
    <w:rsid w:val="009E0CB0"/>
    <w:rsid w:val="009E2BD8"/>
    <w:rsid w:val="009E5921"/>
    <w:rsid w:val="009E6833"/>
    <w:rsid w:val="009E696E"/>
    <w:rsid w:val="009F0083"/>
    <w:rsid w:val="009F0204"/>
    <w:rsid w:val="009F0C51"/>
    <w:rsid w:val="00A0054A"/>
    <w:rsid w:val="00A03613"/>
    <w:rsid w:val="00A03DE0"/>
    <w:rsid w:val="00A0652A"/>
    <w:rsid w:val="00A11B61"/>
    <w:rsid w:val="00A127E9"/>
    <w:rsid w:val="00A14CE1"/>
    <w:rsid w:val="00A2065F"/>
    <w:rsid w:val="00A22527"/>
    <w:rsid w:val="00A27743"/>
    <w:rsid w:val="00A300C6"/>
    <w:rsid w:val="00A32E21"/>
    <w:rsid w:val="00A3503A"/>
    <w:rsid w:val="00A3568F"/>
    <w:rsid w:val="00A36E13"/>
    <w:rsid w:val="00A37FC6"/>
    <w:rsid w:val="00A40A5D"/>
    <w:rsid w:val="00A47FF9"/>
    <w:rsid w:val="00A50285"/>
    <w:rsid w:val="00A52878"/>
    <w:rsid w:val="00A545CC"/>
    <w:rsid w:val="00A55349"/>
    <w:rsid w:val="00A55B75"/>
    <w:rsid w:val="00A57056"/>
    <w:rsid w:val="00A579F0"/>
    <w:rsid w:val="00A57D26"/>
    <w:rsid w:val="00A57DBE"/>
    <w:rsid w:val="00A60705"/>
    <w:rsid w:val="00A607ED"/>
    <w:rsid w:val="00A6082A"/>
    <w:rsid w:val="00A60C10"/>
    <w:rsid w:val="00A63FBA"/>
    <w:rsid w:val="00A640EA"/>
    <w:rsid w:val="00A64B06"/>
    <w:rsid w:val="00A64FFE"/>
    <w:rsid w:val="00A66D6E"/>
    <w:rsid w:val="00A6758E"/>
    <w:rsid w:val="00A67FF7"/>
    <w:rsid w:val="00A7150C"/>
    <w:rsid w:val="00A72E9B"/>
    <w:rsid w:val="00A75B00"/>
    <w:rsid w:val="00A81ED3"/>
    <w:rsid w:val="00A8535B"/>
    <w:rsid w:val="00A92DFA"/>
    <w:rsid w:val="00A93D72"/>
    <w:rsid w:val="00AA5C34"/>
    <w:rsid w:val="00AB1258"/>
    <w:rsid w:val="00AB29C4"/>
    <w:rsid w:val="00AB30A0"/>
    <w:rsid w:val="00AB3736"/>
    <w:rsid w:val="00AB6544"/>
    <w:rsid w:val="00AB7251"/>
    <w:rsid w:val="00AB7BE1"/>
    <w:rsid w:val="00AC1138"/>
    <w:rsid w:val="00AC19CB"/>
    <w:rsid w:val="00AC2153"/>
    <w:rsid w:val="00AC7CFB"/>
    <w:rsid w:val="00AD3E54"/>
    <w:rsid w:val="00AD6343"/>
    <w:rsid w:val="00AE0E4B"/>
    <w:rsid w:val="00AE2FBF"/>
    <w:rsid w:val="00AE310C"/>
    <w:rsid w:val="00AE52B4"/>
    <w:rsid w:val="00AE6336"/>
    <w:rsid w:val="00AF03D7"/>
    <w:rsid w:val="00AF127A"/>
    <w:rsid w:val="00AF30F3"/>
    <w:rsid w:val="00AF31F5"/>
    <w:rsid w:val="00AF48AB"/>
    <w:rsid w:val="00AF5552"/>
    <w:rsid w:val="00AF6B01"/>
    <w:rsid w:val="00AF72ED"/>
    <w:rsid w:val="00B01383"/>
    <w:rsid w:val="00B01885"/>
    <w:rsid w:val="00B02092"/>
    <w:rsid w:val="00B064EC"/>
    <w:rsid w:val="00B069D9"/>
    <w:rsid w:val="00B07A02"/>
    <w:rsid w:val="00B07D3E"/>
    <w:rsid w:val="00B10F91"/>
    <w:rsid w:val="00B10FB5"/>
    <w:rsid w:val="00B1629C"/>
    <w:rsid w:val="00B20E1F"/>
    <w:rsid w:val="00B2134C"/>
    <w:rsid w:val="00B2281E"/>
    <w:rsid w:val="00B22D5F"/>
    <w:rsid w:val="00B22E42"/>
    <w:rsid w:val="00B242CD"/>
    <w:rsid w:val="00B24917"/>
    <w:rsid w:val="00B24CB0"/>
    <w:rsid w:val="00B358D6"/>
    <w:rsid w:val="00B40798"/>
    <w:rsid w:val="00B42C53"/>
    <w:rsid w:val="00B43660"/>
    <w:rsid w:val="00B43E7D"/>
    <w:rsid w:val="00B46035"/>
    <w:rsid w:val="00B46095"/>
    <w:rsid w:val="00B5563E"/>
    <w:rsid w:val="00B55EE8"/>
    <w:rsid w:val="00B604F1"/>
    <w:rsid w:val="00B6395B"/>
    <w:rsid w:val="00B6439A"/>
    <w:rsid w:val="00B719CA"/>
    <w:rsid w:val="00B733BE"/>
    <w:rsid w:val="00B747E0"/>
    <w:rsid w:val="00B75F03"/>
    <w:rsid w:val="00B770E4"/>
    <w:rsid w:val="00B84758"/>
    <w:rsid w:val="00B847CF"/>
    <w:rsid w:val="00B85C88"/>
    <w:rsid w:val="00B90145"/>
    <w:rsid w:val="00B9114F"/>
    <w:rsid w:val="00B9490D"/>
    <w:rsid w:val="00B9631D"/>
    <w:rsid w:val="00B964A6"/>
    <w:rsid w:val="00BA0C6C"/>
    <w:rsid w:val="00BA4093"/>
    <w:rsid w:val="00BA50AE"/>
    <w:rsid w:val="00BA5AF3"/>
    <w:rsid w:val="00BB7890"/>
    <w:rsid w:val="00BC23DC"/>
    <w:rsid w:val="00BC37AF"/>
    <w:rsid w:val="00BC5354"/>
    <w:rsid w:val="00BC7503"/>
    <w:rsid w:val="00BD1657"/>
    <w:rsid w:val="00BD2408"/>
    <w:rsid w:val="00BD2C2E"/>
    <w:rsid w:val="00BD3F67"/>
    <w:rsid w:val="00BE1324"/>
    <w:rsid w:val="00BF13B4"/>
    <w:rsid w:val="00BF3188"/>
    <w:rsid w:val="00BF6532"/>
    <w:rsid w:val="00BF7794"/>
    <w:rsid w:val="00BF7A9B"/>
    <w:rsid w:val="00C0068F"/>
    <w:rsid w:val="00C013FF"/>
    <w:rsid w:val="00C01A4B"/>
    <w:rsid w:val="00C04279"/>
    <w:rsid w:val="00C04C70"/>
    <w:rsid w:val="00C077E8"/>
    <w:rsid w:val="00C11427"/>
    <w:rsid w:val="00C11F86"/>
    <w:rsid w:val="00C15871"/>
    <w:rsid w:val="00C21096"/>
    <w:rsid w:val="00C22009"/>
    <w:rsid w:val="00C22790"/>
    <w:rsid w:val="00C241DF"/>
    <w:rsid w:val="00C24F86"/>
    <w:rsid w:val="00C318D1"/>
    <w:rsid w:val="00C342D4"/>
    <w:rsid w:val="00C3733A"/>
    <w:rsid w:val="00C42CB4"/>
    <w:rsid w:val="00C4445F"/>
    <w:rsid w:val="00C452D6"/>
    <w:rsid w:val="00C47964"/>
    <w:rsid w:val="00C47F21"/>
    <w:rsid w:val="00C53D54"/>
    <w:rsid w:val="00C54A89"/>
    <w:rsid w:val="00C60629"/>
    <w:rsid w:val="00C63050"/>
    <w:rsid w:val="00C635D2"/>
    <w:rsid w:val="00C6385C"/>
    <w:rsid w:val="00C70B46"/>
    <w:rsid w:val="00C71597"/>
    <w:rsid w:val="00C76F98"/>
    <w:rsid w:val="00C77842"/>
    <w:rsid w:val="00C83BA4"/>
    <w:rsid w:val="00C84B9F"/>
    <w:rsid w:val="00C85FA9"/>
    <w:rsid w:val="00C86BD8"/>
    <w:rsid w:val="00C873A8"/>
    <w:rsid w:val="00C920A3"/>
    <w:rsid w:val="00C94D27"/>
    <w:rsid w:val="00C96648"/>
    <w:rsid w:val="00CA049F"/>
    <w:rsid w:val="00CA29F9"/>
    <w:rsid w:val="00CB0E3D"/>
    <w:rsid w:val="00CB224A"/>
    <w:rsid w:val="00CB531B"/>
    <w:rsid w:val="00CB5BD7"/>
    <w:rsid w:val="00CC36D4"/>
    <w:rsid w:val="00CC48FB"/>
    <w:rsid w:val="00CC514F"/>
    <w:rsid w:val="00CD0122"/>
    <w:rsid w:val="00CD0E2C"/>
    <w:rsid w:val="00CD3CDD"/>
    <w:rsid w:val="00CD4E26"/>
    <w:rsid w:val="00CD6384"/>
    <w:rsid w:val="00CE1B2E"/>
    <w:rsid w:val="00CE37DE"/>
    <w:rsid w:val="00CE4BFC"/>
    <w:rsid w:val="00CE5059"/>
    <w:rsid w:val="00CE663B"/>
    <w:rsid w:val="00CE7EC5"/>
    <w:rsid w:val="00CF30E8"/>
    <w:rsid w:val="00CF52C5"/>
    <w:rsid w:val="00CF616E"/>
    <w:rsid w:val="00CF6324"/>
    <w:rsid w:val="00D028A9"/>
    <w:rsid w:val="00D03084"/>
    <w:rsid w:val="00D056AE"/>
    <w:rsid w:val="00D0604B"/>
    <w:rsid w:val="00D06D6A"/>
    <w:rsid w:val="00D11B9E"/>
    <w:rsid w:val="00D130CF"/>
    <w:rsid w:val="00D15808"/>
    <w:rsid w:val="00D21181"/>
    <w:rsid w:val="00D24908"/>
    <w:rsid w:val="00D24D84"/>
    <w:rsid w:val="00D24F1F"/>
    <w:rsid w:val="00D24F5E"/>
    <w:rsid w:val="00D271E9"/>
    <w:rsid w:val="00D31E42"/>
    <w:rsid w:val="00D32696"/>
    <w:rsid w:val="00D3451A"/>
    <w:rsid w:val="00D34760"/>
    <w:rsid w:val="00D347F4"/>
    <w:rsid w:val="00D46591"/>
    <w:rsid w:val="00D47AD4"/>
    <w:rsid w:val="00D510A4"/>
    <w:rsid w:val="00D54336"/>
    <w:rsid w:val="00D555D4"/>
    <w:rsid w:val="00D70761"/>
    <w:rsid w:val="00D70BF2"/>
    <w:rsid w:val="00D7174C"/>
    <w:rsid w:val="00D756B5"/>
    <w:rsid w:val="00D835C4"/>
    <w:rsid w:val="00D840AE"/>
    <w:rsid w:val="00D84F83"/>
    <w:rsid w:val="00D91246"/>
    <w:rsid w:val="00D9156C"/>
    <w:rsid w:val="00D92FCA"/>
    <w:rsid w:val="00D949A8"/>
    <w:rsid w:val="00D95F35"/>
    <w:rsid w:val="00DA2B9A"/>
    <w:rsid w:val="00DA2D7E"/>
    <w:rsid w:val="00DA3436"/>
    <w:rsid w:val="00DA363B"/>
    <w:rsid w:val="00DA3CDE"/>
    <w:rsid w:val="00DB0458"/>
    <w:rsid w:val="00DB26FF"/>
    <w:rsid w:val="00DB36BD"/>
    <w:rsid w:val="00DB3B47"/>
    <w:rsid w:val="00DB7885"/>
    <w:rsid w:val="00DC0856"/>
    <w:rsid w:val="00DC116E"/>
    <w:rsid w:val="00DC1815"/>
    <w:rsid w:val="00DC1DA6"/>
    <w:rsid w:val="00DC763D"/>
    <w:rsid w:val="00DC7E2B"/>
    <w:rsid w:val="00DD1449"/>
    <w:rsid w:val="00DD3AC3"/>
    <w:rsid w:val="00DD550F"/>
    <w:rsid w:val="00DD69FD"/>
    <w:rsid w:val="00DE279D"/>
    <w:rsid w:val="00DE3C31"/>
    <w:rsid w:val="00DE499A"/>
    <w:rsid w:val="00DE6588"/>
    <w:rsid w:val="00DE6C01"/>
    <w:rsid w:val="00DF2FF9"/>
    <w:rsid w:val="00DF43E8"/>
    <w:rsid w:val="00DF4A1E"/>
    <w:rsid w:val="00E019AA"/>
    <w:rsid w:val="00E01E6B"/>
    <w:rsid w:val="00E11653"/>
    <w:rsid w:val="00E13666"/>
    <w:rsid w:val="00E22367"/>
    <w:rsid w:val="00E23EF4"/>
    <w:rsid w:val="00E24383"/>
    <w:rsid w:val="00E24E35"/>
    <w:rsid w:val="00E24E89"/>
    <w:rsid w:val="00E26B2A"/>
    <w:rsid w:val="00E26E49"/>
    <w:rsid w:val="00E30FFB"/>
    <w:rsid w:val="00E376D8"/>
    <w:rsid w:val="00E41C05"/>
    <w:rsid w:val="00E42F19"/>
    <w:rsid w:val="00E43241"/>
    <w:rsid w:val="00E45C87"/>
    <w:rsid w:val="00E46180"/>
    <w:rsid w:val="00E462BE"/>
    <w:rsid w:val="00E469FC"/>
    <w:rsid w:val="00E47E79"/>
    <w:rsid w:val="00E60D3A"/>
    <w:rsid w:val="00E66927"/>
    <w:rsid w:val="00E67CFF"/>
    <w:rsid w:val="00E72B63"/>
    <w:rsid w:val="00E73185"/>
    <w:rsid w:val="00E73ECA"/>
    <w:rsid w:val="00E74327"/>
    <w:rsid w:val="00E85B26"/>
    <w:rsid w:val="00E85C92"/>
    <w:rsid w:val="00E8614D"/>
    <w:rsid w:val="00E93C69"/>
    <w:rsid w:val="00EA2274"/>
    <w:rsid w:val="00EA3F8B"/>
    <w:rsid w:val="00EA51DC"/>
    <w:rsid w:val="00EB0F8E"/>
    <w:rsid w:val="00EB1BC3"/>
    <w:rsid w:val="00EB391A"/>
    <w:rsid w:val="00EB5846"/>
    <w:rsid w:val="00EB5976"/>
    <w:rsid w:val="00EB6AEC"/>
    <w:rsid w:val="00EC08F8"/>
    <w:rsid w:val="00EC102F"/>
    <w:rsid w:val="00EC27F5"/>
    <w:rsid w:val="00EC370F"/>
    <w:rsid w:val="00EC43A5"/>
    <w:rsid w:val="00EC4A9A"/>
    <w:rsid w:val="00EC4FBD"/>
    <w:rsid w:val="00EC6FE5"/>
    <w:rsid w:val="00EC71BE"/>
    <w:rsid w:val="00EC7BBC"/>
    <w:rsid w:val="00ED1C7D"/>
    <w:rsid w:val="00ED4F01"/>
    <w:rsid w:val="00ED5052"/>
    <w:rsid w:val="00EE374A"/>
    <w:rsid w:val="00EE39A9"/>
    <w:rsid w:val="00EE59F6"/>
    <w:rsid w:val="00EE7617"/>
    <w:rsid w:val="00EF05F3"/>
    <w:rsid w:val="00EF1757"/>
    <w:rsid w:val="00EF1D41"/>
    <w:rsid w:val="00EF2A50"/>
    <w:rsid w:val="00EF5C73"/>
    <w:rsid w:val="00EF70E9"/>
    <w:rsid w:val="00F01924"/>
    <w:rsid w:val="00F074E0"/>
    <w:rsid w:val="00F0782F"/>
    <w:rsid w:val="00F11DE1"/>
    <w:rsid w:val="00F12C7B"/>
    <w:rsid w:val="00F15D0D"/>
    <w:rsid w:val="00F17451"/>
    <w:rsid w:val="00F17452"/>
    <w:rsid w:val="00F177C2"/>
    <w:rsid w:val="00F2184C"/>
    <w:rsid w:val="00F21F30"/>
    <w:rsid w:val="00F253F2"/>
    <w:rsid w:val="00F266B3"/>
    <w:rsid w:val="00F27DE7"/>
    <w:rsid w:val="00F31AF8"/>
    <w:rsid w:val="00F31F20"/>
    <w:rsid w:val="00F37465"/>
    <w:rsid w:val="00F41C82"/>
    <w:rsid w:val="00F473E6"/>
    <w:rsid w:val="00F50913"/>
    <w:rsid w:val="00F50AE1"/>
    <w:rsid w:val="00F50C21"/>
    <w:rsid w:val="00F54FE0"/>
    <w:rsid w:val="00F567C4"/>
    <w:rsid w:val="00F57412"/>
    <w:rsid w:val="00F670D3"/>
    <w:rsid w:val="00F70079"/>
    <w:rsid w:val="00F77AD3"/>
    <w:rsid w:val="00F8203E"/>
    <w:rsid w:val="00F85482"/>
    <w:rsid w:val="00F86BFD"/>
    <w:rsid w:val="00F872DA"/>
    <w:rsid w:val="00F93BAD"/>
    <w:rsid w:val="00F95609"/>
    <w:rsid w:val="00F97F83"/>
    <w:rsid w:val="00FA27DD"/>
    <w:rsid w:val="00FA283B"/>
    <w:rsid w:val="00FA31F0"/>
    <w:rsid w:val="00FA5457"/>
    <w:rsid w:val="00FA6A60"/>
    <w:rsid w:val="00FB16C5"/>
    <w:rsid w:val="00FB2AC3"/>
    <w:rsid w:val="00FB3B40"/>
    <w:rsid w:val="00FB4593"/>
    <w:rsid w:val="00FB770C"/>
    <w:rsid w:val="00FC026A"/>
    <w:rsid w:val="00FC07D5"/>
    <w:rsid w:val="00FC41CB"/>
    <w:rsid w:val="00FC493B"/>
    <w:rsid w:val="00FC4CFD"/>
    <w:rsid w:val="00FC7102"/>
    <w:rsid w:val="00FD016A"/>
    <w:rsid w:val="00FD01C7"/>
    <w:rsid w:val="00FD18BB"/>
    <w:rsid w:val="00FD4BC1"/>
    <w:rsid w:val="00FD5DEC"/>
    <w:rsid w:val="00FD793C"/>
    <w:rsid w:val="00FE1324"/>
    <w:rsid w:val="00FE294A"/>
    <w:rsid w:val="00FE5158"/>
    <w:rsid w:val="00FE559F"/>
    <w:rsid w:val="00FE6B5F"/>
    <w:rsid w:val="00FF0FB6"/>
    <w:rsid w:val="00FF275A"/>
    <w:rsid w:val="00FF45F6"/>
    <w:rsid w:val="00FF4616"/>
    <w:rsid w:val="00FF5C26"/>
    <w:rsid w:val="00FF6190"/>
    <w:rsid w:val="00FF69FC"/>
    <w:rsid w:val="013166F6"/>
    <w:rsid w:val="01899183"/>
    <w:rsid w:val="01A766B4"/>
    <w:rsid w:val="01AB5A70"/>
    <w:rsid w:val="01CDAEB1"/>
    <w:rsid w:val="01F33054"/>
    <w:rsid w:val="0287F7A8"/>
    <w:rsid w:val="02E41EA2"/>
    <w:rsid w:val="0337CCB7"/>
    <w:rsid w:val="033E45E7"/>
    <w:rsid w:val="046A7AFC"/>
    <w:rsid w:val="04DD9E5D"/>
    <w:rsid w:val="060637D9"/>
    <w:rsid w:val="0685CE10"/>
    <w:rsid w:val="069860EA"/>
    <w:rsid w:val="06B524F3"/>
    <w:rsid w:val="06E5D389"/>
    <w:rsid w:val="07B29323"/>
    <w:rsid w:val="07D2936D"/>
    <w:rsid w:val="07FFBD48"/>
    <w:rsid w:val="082732B7"/>
    <w:rsid w:val="085F56FF"/>
    <w:rsid w:val="08DE4B4D"/>
    <w:rsid w:val="0973A94E"/>
    <w:rsid w:val="09EA938F"/>
    <w:rsid w:val="0A3883FD"/>
    <w:rsid w:val="0A3FF9DD"/>
    <w:rsid w:val="0AE22F57"/>
    <w:rsid w:val="0B1C9976"/>
    <w:rsid w:val="0C6CCE3D"/>
    <w:rsid w:val="0CA03E94"/>
    <w:rsid w:val="0D2276FC"/>
    <w:rsid w:val="0D3BECB0"/>
    <w:rsid w:val="0D5360B6"/>
    <w:rsid w:val="0EA03FE1"/>
    <w:rsid w:val="0ED2133C"/>
    <w:rsid w:val="0EDB05E4"/>
    <w:rsid w:val="0F0B56B4"/>
    <w:rsid w:val="0F7C9AE8"/>
    <w:rsid w:val="106203E9"/>
    <w:rsid w:val="109F8785"/>
    <w:rsid w:val="10DCB4B1"/>
    <w:rsid w:val="10FC54B3"/>
    <w:rsid w:val="110906B4"/>
    <w:rsid w:val="112D2531"/>
    <w:rsid w:val="114D10C4"/>
    <w:rsid w:val="114D9806"/>
    <w:rsid w:val="11FC0180"/>
    <w:rsid w:val="1212A6A6"/>
    <w:rsid w:val="12815315"/>
    <w:rsid w:val="12A65B44"/>
    <w:rsid w:val="12A8AF93"/>
    <w:rsid w:val="12BBBD88"/>
    <w:rsid w:val="12DC9388"/>
    <w:rsid w:val="130F8018"/>
    <w:rsid w:val="13AB2E34"/>
    <w:rsid w:val="13E1042F"/>
    <w:rsid w:val="1428486C"/>
    <w:rsid w:val="14AB5079"/>
    <w:rsid w:val="14B35690"/>
    <w:rsid w:val="14C026EB"/>
    <w:rsid w:val="14EC8D62"/>
    <w:rsid w:val="14F47AE8"/>
    <w:rsid w:val="1529C9F8"/>
    <w:rsid w:val="157CD490"/>
    <w:rsid w:val="159971D0"/>
    <w:rsid w:val="15A07A8C"/>
    <w:rsid w:val="15A07AC3"/>
    <w:rsid w:val="164720DA"/>
    <w:rsid w:val="1657FC49"/>
    <w:rsid w:val="16937558"/>
    <w:rsid w:val="16B98171"/>
    <w:rsid w:val="16CDE274"/>
    <w:rsid w:val="1716A1DD"/>
    <w:rsid w:val="173AF07D"/>
    <w:rsid w:val="179612BD"/>
    <w:rsid w:val="17FE6118"/>
    <w:rsid w:val="18030A04"/>
    <w:rsid w:val="18A9C405"/>
    <w:rsid w:val="18F70883"/>
    <w:rsid w:val="18F84CCC"/>
    <w:rsid w:val="1905FD7F"/>
    <w:rsid w:val="19076698"/>
    <w:rsid w:val="1949D297"/>
    <w:rsid w:val="1972624A"/>
    <w:rsid w:val="1993980E"/>
    <w:rsid w:val="19FB298B"/>
    <w:rsid w:val="1AA85674"/>
    <w:rsid w:val="1AB2C25B"/>
    <w:rsid w:val="1ACA0605"/>
    <w:rsid w:val="1B50DD2C"/>
    <w:rsid w:val="1B5468F6"/>
    <w:rsid w:val="1BEC1614"/>
    <w:rsid w:val="1C0E54F0"/>
    <w:rsid w:val="1C25C83B"/>
    <w:rsid w:val="1C4F91D9"/>
    <w:rsid w:val="1C920302"/>
    <w:rsid w:val="1D1F7269"/>
    <w:rsid w:val="1D2B3DA9"/>
    <w:rsid w:val="1D3263E4"/>
    <w:rsid w:val="1D84A244"/>
    <w:rsid w:val="1D8AAEE5"/>
    <w:rsid w:val="1DEB623A"/>
    <w:rsid w:val="1E055441"/>
    <w:rsid w:val="1E4B3042"/>
    <w:rsid w:val="1E82EA2B"/>
    <w:rsid w:val="1EA48C9E"/>
    <w:rsid w:val="1EAF0D73"/>
    <w:rsid w:val="1EAF3515"/>
    <w:rsid w:val="1ED6F0E2"/>
    <w:rsid w:val="1F584A00"/>
    <w:rsid w:val="1F75F7C4"/>
    <w:rsid w:val="2061CD31"/>
    <w:rsid w:val="212CCEA2"/>
    <w:rsid w:val="21654310"/>
    <w:rsid w:val="21EDB449"/>
    <w:rsid w:val="225B5798"/>
    <w:rsid w:val="22B53C33"/>
    <w:rsid w:val="22B63664"/>
    <w:rsid w:val="231EDC89"/>
    <w:rsid w:val="23996DF3"/>
    <w:rsid w:val="23A0A2B8"/>
    <w:rsid w:val="23F727F9"/>
    <w:rsid w:val="24646F64"/>
    <w:rsid w:val="2480CE8E"/>
    <w:rsid w:val="24821DCB"/>
    <w:rsid w:val="24DA22EB"/>
    <w:rsid w:val="25322F29"/>
    <w:rsid w:val="2567385B"/>
    <w:rsid w:val="2591A224"/>
    <w:rsid w:val="26517A6C"/>
    <w:rsid w:val="269C2FB6"/>
    <w:rsid w:val="26AB4622"/>
    <w:rsid w:val="26E5E5D6"/>
    <w:rsid w:val="277387DD"/>
    <w:rsid w:val="27968693"/>
    <w:rsid w:val="27BB6A66"/>
    <w:rsid w:val="27F77D0F"/>
    <w:rsid w:val="2886D11D"/>
    <w:rsid w:val="28A80134"/>
    <w:rsid w:val="28C6B8D1"/>
    <w:rsid w:val="2903B1AD"/>
    <w:rsid w:val="291CDA0A"/>
    <w:rsid w:val="29A3B984"/>
    <w:rsid w:val="2AA81FEC"/>
    <w:rsid w:val="2AC14849"/>
    <w:rsid w:val="2AC853C9"/>
    <w:rsid w:val="2B9425EF"/>
    <w:rsid w:val="2BE74216"/>
    <w:rsid w:val="2C328943"/>
    <w:rsid w:val="2C525110"/>
    <w:rsid w:val="2C6B8314"/>
    <w:rsid w:val="2CB5DFDD"/>
    <w:rsid w:val="2D33D1BF"/>
    <w:rsid w:val="2D5383ED"/>
    <w:rsid w:val="2DD73ECC"/>
    <w:rsid w:val="2DED3C02"/>
    <w:rsid w:val="2E0F8AAC"/>
    <w:rsid w:val="2F10048F"/>
    <w:rsid w:val="2F2FE08C"/>
    <w:rsid w:val="2F57C791"/>
    <w:rsid w:val="2F890C63"/>
    <w:rsid w:val="2F8C1B8E"/>
    <w:rsid w:val="302BCE28"/>
    <w:rsid w:val="3122897F"/>
    <w:rsid w:val="3127EBEF"/>
    <w:rsid w:val="31496BA0"/>
    <w:rsid w:val="31957F4E"/>
    <w:rsid w:val="31E2F75F"/>
    <w:rsid w:val="322E7CF4"/>
    <w:rsid w:val="325194A1"/>
    <w:rsid w:val="3260408B"/>
    <w:rsid w:val="32A08338"/>
    <w:rsid w:val="32A85EB0"/>
    <w:rsid w:val="33868017"/>
    <w:rsid w:val="33B9689F"/>
    <w:rsid w:val="33C0D36C"/>
    <w:rsid w:val="3445EE9D"/>
    <w:rsid w:val="344D9919"/>
    <w:rsid w:val="34E616EE"/>
    <w:rsid w:val="357F4613"/>
    <w:rsid w:val="35C493A7"/>
    <w:rsid w:val="35F8DBE7"/>
    <w:rsid w:val="36354E04"/>
    <w:rsid w:val="36938583"/>
    <w:rsid w:val="372F792E"/>
    <w:rsid w:val="373BAD63"/>
    <w:rsid w:val="3754F370"/>
    <w:rsid w:val="376CA65A"/>
    <w:rsid w:val="378A96B0"/>
    <w:rsid w:val="37AC7AF2"/>
    <w:rsid w:val="37BA2176"/>
    <w:rsid w:val="37E102BF"/>
    <w:rsid w:val="37F4E779"/>
    <w:rsid w:val="381F871B"/>
    <w:rsid w:val="38803660"/>
    <w:rsid w:val="39B53E36"/>
    <w:rsid w:val="39F45E67"/>
    <w:rsid w:val="3A0D986A"/>
    <w:rsid w:val="3A4E38ED"/>
    <w:rsid w:val="3A5BA7D3"/>
    <w:rsid w:val="3A7336A9"/>
    <w:rsid w:val="3ACECE35"/>
    <w:rsid w:val="3ADCAEF2"/>
    <w:rsid w:val="3AF1C238"/>
    <w:rsid w:val="3BEDFA74"/>
    <w:rsid w:val="3C609DA9"/>
    <w:rsid w:val="3CF187E4"/>
    <w:rsid w:val="3D4DD70A"/>
    <w:rsid w:val="3DA123C7"/>
    <w:rsid w:val="3DAD9223"/>
    <w:rsid w:val="3DC1EC2E"/>
    <w:rsid w:val="3DC5320E"/>
    <w:rsid w:val="3E0E9FBC"/>
    <w:rsid w:val="3E41BB9E"/>
    <w:rsid w:val="3EB47AF3"/>
    <w:rsid w:val="3EDB93A9"/>
    <w:rsid w:val="3EE1098D"/>
    <w:rsid w:val="3EF7745A"/>
    <w:rsid w:val="3F524D90"/>
    <w:rsid w:val="3FE05C1B"/>
    <w:rsid w:val="404C452F"/>
    <w:rsid w:val="40AD9AA7"/>
    <w:rsid w:val="40BE5E50"/>
    <w:rsid w:val="40C23E37"/>
    <w:rsid w:val="4142B404"/>
    <w:rsid w:val="4212D077"/>
    <w:rsid w:val="43A91977"/>
    <w:rsid w:val="43E044A0"/>
    <w:rsid w:val="43EE6CDC"/>
    <w:rsid w:val="44BA4224"/>
    <w:rsid w:val="44CCAD80"/>
    <w:rsid w:val="4558E8EF"/>
    <w:rsid w:val="45BC2882"/>
    <w:rsid w:val="45D81DFA"/>
    <w:rsid w:val="46391153"/>
    <w:rsid w:val="46DD95F8"/>
    <w:rsid w:val="479ECDA3"/>
    <w:rsid w:val="47A94A68"/>
    <w:rsid w:val="47EE04B6"/>
    <w:rsid w:val="48557916"/>
    <w:rsid w:val="4975BC97"/>
    <w:rsid w:val="498B7DB9"/>
    <w:rsid w:val="4A7E9C04"/>
    <w:rsid w:val="4AB41191"/>
    <w:rsid w:val="4B5A4165"/>
    <w:rsid w:val="4BAF0216"/>
    <w:rsid w:val="4BC82A73"/>
    <w:rsid w:val="4D8F40EB"/>
    <w:rsid w:val="4DB916FC"/>
    <w:rsid w:val="4E6013FB"/>
    <w:rsid w:val="4F4EED8B"/>
    <w:rsid w:val="4F7F86FF"/>
    <w:rsid w:val="4FC6B87E"/>
    <w:rsid w:val="5009C183"/>
    <w:rsid w:val="50137660"/>
    <w:rsid w:val="502DB288"/>
    <w:rsid w:val="5092FDB8"/>
    <w:rsid w:val="509AEB3E"/>
    <w:rsid w:val="50ED6EEB"/>
    <w:rsid w:val="50F9CE3D"/>
    <w:rsid w:val="510EA4AF"/>
    <w:rsid w:val="519440F8"/>
    <w:rsid w:val="51C982E9"/>
    <w:rsid w:val="51DE5F3C"/>
    <w:rsid w:val="524CB8E9"/>
    <w:rsid w:val="5262B20E"/>
    <w:rsid w:val="52ED3E71"/>
    <w:rsid w:val="52FEAEA9"/>
    <w:rsid w:val="5331DE2F"/>
    <w:rsid w:val="53571C4E"/>
    <w:rsid w:val="535C071B"/>
    <w:rsid w:val="5390A23A"/>
    <w:rsid w:val="53B8AAE2"/>
    <w:rsid w:val="53F5808D"/>
    <w:rsid w:val="53FE826F"/>
    <w:rsid w:val="54237C16"/>
    <w:rsid w:val="54464571"/>
    <w:rsid w:val="5471CD8C"/>
    <w:rsid w:val="54E157E2"/>
    <w:rsid w:val="54EE051C"/>
    <w:rsid w:val="552DD9B4"/>
    <w:rsid w:val="55380F2B"/>
    <w:rsid w:val="55547B43"/>
    <w:rsid w:val="5559D818"/>
    <w:rsid w:val="559CCA00"/>
    <w:rsid w:val="55CE8D21"/>
    <w:rsid w:val="55D6BDA8"/>
    <w:rsid w:val="55EE4332"/>
    <w:rsid w:val="56410971"/>
    <w:rsid w:val="56907801"/>
    <w:rsid w:val="56E11B1C"/>
    <w:rsid w:val="57DD0695"/>
    <w:rsid w:val="57FEA00D"/>
    <w:rsid w:val="581F9C10"/>
    <w:rsid w:val="58E1D79C"/>
    <w:rsid w:val="5950772E"/>
    <w:rsid w:val="59794F41"/>
    <w:rsid w:val="59894739"/>
    <w:rsid w:val="5A59236D"/>
    <w:rsid w:val="5A933C32"/>
    <w:rsid w:val="5A9E6FA2"/>
    <w:rsid w:val="5AFBC654"/>
    <w:rsid w:val="5B0BD202"/>
    <w:rsid w:val="5B43B6C8"/>
    <w:rsid w:val="5B69F423"/>
    <w:rsid w:val="5B6A76EA"/>
    <w:rsid w:val="5BFA63B4"/>
    <w:rsid w:val="5C0737C6"/>
    <w:rsid w:val="5C3BFAA6"/>
    <w:rsid w:val="5D45EC14"/>
    <w:rsid w:val="5D5983F5"/>
    <w:rsid w:val="5DC37032"/>
    <w:rsid w:val="5DD99F86"/>
    <w:rsid w:val="5E8EDD94"/>
    <w:rsid w:val="5F367707"/>
    <w:rsid w:val="5FFF8B70"/>
    <w:rsid w:val="6087FD62"/>
    <w:rsid w:val="60CE196A"/>
    <w:rsid w:val="61416465"/>
    <w:rsid w:val="61C45F07"/>
    <w:rsid w:val="622C7BCC"/>
    <w:rsid w:val="634EF963"/>
    <w:rsid w:val="6353706E"/>
    <w:rsid w:val="63602F68"/>
    <w:rsid w:val="63A675C7"/>
    <w:rsid w:val="63BC29D4"/>
    <w:rsid w:val="63DF9373"/>
    <w:rsid w:val="6484936F"/>
    <w:rsid w:val="64B8905A"/>
    <w:rsid w:val="66DE1689"/>
    <w:rsid w:val="6747CB1E"/>
    <w:rsid w:val="674B2724"/>
    <w:rsid w:val="67886A3E"/>
    <w:rsid w:val="678DB26C"/>
    <w:rsid w:val="680D1D67"/>
    <w:rsid w:val="68452AAC"/>
    <w:rsid w:val="688BBAE1"/>
    <w:rsid w:val="68D0079A"/>
    <w:rsid w:val="68EF5E6D"/>
    <w:rsid w:val="6928E37E"/>
    <w:rsid w:val="692B5238"/>
    <w:rsid w:val="697CDA65"/>
    <w:rsid w:val="699CED4A"/>
    <w:rsid w:val="69CB9C34"/>
    <w:rsid w:val="6A015CC1"/>
    <w:rsid w:val="6A9C82F7"/>
    <w:rsid w:val="6AE96175"/>
    <w:rsid w:val="6AF73641"/>
    <w:rsid w:val="6B0D0D6C"/>
    <w:rsid w:val="6B2CB005"/>
    <w:rsid w:val="6BDF0D1D"/>
    <w:rsid w:val="6C0D5B53"/>
    <w:rsid w:val="6C28C597"/>
    <w:rsid w:val="6CA2F31A"/>
    <w:rsid w:val="6CB46FDD"/>
    <w:rsid w:val="6CC6E2EC"/>
    <w:rsid w:val="6D2428C5"/>
    <w:rsid w:val="6D7669B3"/>
    <w:rsid w:val="6D8F9210"/>
    <w:rsid w:val="6DC7ADB2"/>
    <w:rsid w:val="6E04622B"/>
    <w:rsid w:val="6EC63375"/>
    <w:rsid w:val="6F0A5B2D"/>
    <w:rsid w:val="6F0BAEAB"/>
    <w:rsid w:val="6F0DEB33"/>
    <w:rsid w:val="6F947A76"/>
    <w:rsid w:val="7084F8CF"/>
    <w:rsid w:val="7123D3A6"/>
    <w:rsid w:val="713494B2"/>
    <w:rsid w:val="71428C5D"/>
    <w:rsid w:val="7187EC4A"/>
    <w:rsid w:val="7243B64B"/>
    <w:rsid w:val="728A93AA"/>
    <w:rsid w:val="72D723CC"/>
    <w:rsid w:val="731E28C2"/>
    <w:rsid w:val="7354BCBE"/>
    <w:rsid w:val="7395E10B"/>
    <w:rsid w:val="73FED394"/>
    <w:rsid w:val="759AA3F5"/>
    <w:rsid w:val="75F433BE"/>
    <w:rsid w:val="764C2CE5"/>
    <w:rsid w:val="766D5105"/>
    <w:rsid w:val="76C994E1"/>
    <w:rsid w:val="76CE8989"/>
    <w:rsid w:val="772A4A8D"/>
    <w:rsid w:val="775E4778"/>
    <w:rsid w:val="775F9A3C"/>
    <w:rsid w:val="7794F7ED"/>
    <w:rsid w:val="7818130D"/>
    <w:rsid w:val="78C85856"/>
    <w:rsid w:val="78F04D96"/>
    <w:rsid w:val="790795C0"/>
    <w:rsid w:val="791328E6"/>
    <w:rsid w:val="7934B388"/>
    <w:rsid w:val="7A077061"/>
    <w:rsid w:val="7A371305"/>
    <w:rsid w:val="7A61EB4F"/>
    <w:rsid w:val="7AAFB0A0"/>
    <w:rsid w:val="7B08DA1C"/>
    <w:rsid w:val="7B514D8C"/>
    <w:rsid w:val="7BA340C2"/>
    <w:rsid w:val="7BC873D4"/>
    <w:rsid w:val="7BDAEF1A"/>
    <w:rsid w:val="7C36FCBD"/>
    <w:rsid w:val="7C457188"/>
    <w:rsid w:val="7C8EF64E"/>
    <w:rsid w:val="7CA8B3C5"/>
    <w:rsid w:val="7CE4800F"/>
    <w:rsid w:val="7D133C9C"/>
    <w:rsid w:val="7D3968E0"/>
    <w:rsid w:val="7DE793CA"/>
    <w:rsid w:val="7E2AC6AF"/>
    <w:rsid w:val="7E672813"/>
    <w:rsid w:val="7EDF4997"/>
    <w:rsid w:val="7EE8E6BE"/>
    <w:rsid w:val="7F2BA43C"/>
    <w:rsid w:val="7FE2F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A905"/>
  <w15:chartTrackingRefBased/>
  <w15:docId w15:val="{E332F46B-1BC5-40A0-BBD4-299CD41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94DD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2">
    <w:name w:val="heading 2"/>
    <w:basedOn w:val="Normal"/>
    <w:next w:val="Normal"/>
    <w:link w:val="Heading2Char"/>
    <w:unhideWhenUsed/>
    <w:qFormat/>
    <w:rsid w:val="00794DD3"/>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4DD3"/>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794DD3"/>
    <w:pPr>
      <w:spacing w:after="0" w:line="240" w:lineRule="auto"/>
    </w:pPr>
    <w:rPr>
      <w:rFonts w:ascii="Calibri" w:eastAsia="Calibri" w:hAnsi="Calibri" w:cs="Times New Roman"/>
    </w:rPr>
  </w:style>
  <w:style w:type="character" w:customStyle="1" w:styleId="NoSpacingChar">
    <w:name w:val="No Spacing Char"/>
    <w:link w:val="NoSpacing"/>
    <w:uiPriority w:val="1"/>
    <w:rsid w:val="00794DD3"/>
    <w:rPr>
      <w:rFonts w:ascii="Calibri" w:eastAsia="Calibri" w:hAnsi="Calibri" w:cs="Times New Roman"/>
    </w:rPr>
  </w:style>
  <w:style w:type="paragraph" w:styleId="CommentText">
    <w:name w:val="annotation text"/>
    <w:basedOn w:val="Normal"/>
    <w:link w:val="CommentTextChar"/>
    <w:uiPriority w:val="99"/>
    <w:unhideWhenUsed/>
    <w:rsid w:val="00794DD3"/>
    <w:rPr>
      <w:sz w:val="20"/>
      <w:szCs w:val="20"/>
    </w:rPr>
  </w:style>
  <w:style w:type="character" w:customStyle="1" w:styleId="CommentTextChar">
    <w:name w:val="Comment Text Char"/>
    <w:basedOn w:val="DefaultParagraphFont"/>
    <w:link w:val="CommentText"/>
    <w:uiPriority w:val="99"/>
    <w:rsid w:val="00794DD3"/>
    <w:rPr>
      <w:rFonts w:ascii="Arial" w:eastAsia="Calibri" w:hAnsi="Arial" w:cs="Helvetica-Light"/>
      <w:color w:val="000000"/>
      <w:sz w:val="20"/>
      <w:szCs w:val="20"/>
    </w:rPr>
  </w:style>
  <w:style w:type="paragraph" w:styleId="ListParagraph">
    <w:name w:val="List Paragraph"/>
    <w:basedOn w:val="Normal"/>
    <w:uiPriority w:val="34"/>
    <w:qFormat/>
    <w:rsid w:val="00794DD3"/>
    <w:pPr>
      <w:ind w:left="720"/>
      <w:contextualSpacing/>
    </w:pPr>
  </w:style>
  <w:style w:type="paragraph" w:customStyle="1" w:styleId="paragraph">
    <w:name w:val="paragraph"/>
    <w:basedOn w:val="Normal"/>
    <w:link w:val="paragraphChar"/>
    <w:rsid w:val="008E7297"/>
    <w:pPr>
      <w:autoSpaceDE/>
      <w:autoSpaceDN/>
      <w:adjustRightInd/>
      <w:spacing w:before="100" w:beforeAutospacing="1" w:after="100" w:afterAutospacing="1"/>
      <w:jc w:val="left"/>
    </w:pPr>
    <w:rPr>
      <w:rFonts w:ascii="Calibri" w:eastAsiaTheme="minorHAnsi" w:hAnsi="Calibri" w:cs="Calibri"/>
      <w:color w:val="auto"/>
      <w:sz w:val="22"/>
      <w:szCs w:val="22"/>
      <w:lang w:eastAsia="en-GB"/>
    </w:rPr>
  </w:style>
  <w:style w:type="character" w:customStyle="1" w:styleId="normaltextrun">
    <w:name w:val="normaltextrun"/>
    <w:basedOn w:val="DefaultParagraphFont"/>
    <w:rsid w:val="008E7297"/>
  </w:style>
  <w:style w:type="character" w:customStyle="1" w:styleId="eop">
    <w:name w:val="eop"/>
    <w:basedOn w:val="DefaultParagraphFont"/>
    <w:rsid w:val="008E729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CommentReference">
    <w:name w:val="annotation reference"/>
    <w:basedOn w:val="DefaultParagraphFont"/>
    <w:uiPriority w:val="99"/>
    <w:semiHidden/>
    <w:unhideWhenUsed/>
    <w:rsid w:val="00FB2AC3"/>
    <w:rPr>
      <w:sz w:val="16"/>
      <w:szCs w:val="16"/>
    </w:rPr>
  </w:style>
  <w:style w:type="paragraph" w:styleId="CommentSubject">
    <w:name w:val="annotation subject"/>
    <w:basedOn w:val="CommentText"/>
    <w:next w:val="CommentText"/>
    <w:link w:val="CommentSubjectChar"/>
    <w:uiPriority w:val="99"/>
    <w:semiHidden/>
    <w:unhideWhenUsed/>
    <w:rsid w:val="00FB2AC3"/>
    <w:rPr>
      <w:b/>
      <w:bCs/>
    </w:rPr>
  </w:style>
  <w:style w:type="character" w:customStyle="1" w:styleId="CommentSubjectChar">
    <w:name w:val="Comment Subject Char"/>
    <w:basedOn w:val="CommentTextChar"/>
    <w:link w:val="CommentSubject"/>
    <w:uiPriority w:val="99"/>
    <w:semiHidden/>
    <w:rsid w:val="00FB2AC3"/>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656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49"/>
    <w:rPr>
      <w:rFonts w:ascii="Segoe UI" w:eastAsia="Calibri" w:hAnsi="Segoe UI" w:cs="Segoe UI"/>
      <w:color w:val="000000"/>
      <w:sz w:val="18"/>
      <w:szCs w:val="18"/>
    </w:rPr>
  </w:style>
  <w:style w:type="paragraph" w:styleId="NormalWeb">
    <w:name w:val="Normal (Web)"/>
    <w:basedOn w:val="Normal"/>
    <w:uiPriority w:val="99"/>
    <w:semiHidden/>
    <w:unhideWhenUsed/>
    <w:rsid w:val="008E1999"/>
    <w:rPr>
      <w:rFonts w:ascii="Times New Roman" w:hAnsi="Times New Roman" w:cs="Times New Roman"/>
    </w:rPr>
  </w:style>
  <w:style w:type="paragraph" w:customStyle="1" w:styleId="Style1">
    <w:name w:val="Style1"/>
    <w:basedOn w:val="paragraph"/>
    <w:link w:val="Style1Char"/>
    <w:uiPriority w:val="2"/>
    <w:qFormat/>
    <w:rsid w:val="00243AF1"/>
    <w:pPr>
      <w:spacing w:before="0" w:beforeAutospacing="0" w:after="0" w:afterAutospacing="0"/>
      <w:jc w:val="both"/>
      <w:textAlignment w:val="baseline"/>
    </w:pPr>
    <w:rPr>
      <w:rFonts w:ascii="Arial" w:hAnsi="Arial" w:cs="Arial"/>
      <w:b/>
      <w:bCs/>
      <w:sz w:val="24"/>
      <w:szCs w:val="24"/>
    </w:rPr>
  </w:style>
  <w:style w:type="character" w:customStyle="1" w:styleId="paragraphChar">
    <w:name w:val="paragraph Char"/>
    <w:basedOn w:val="DefaultParagraphFont"/>
    <w:link w:val="paragraph"/>
    <w:rsid w:val="00243AF1"/>
    <w:rPr>
      <w:rFonts w:ascii="Calibri" w:hAnsi="Calibri" w:cs="Calibri"/>
      <w:lang w:eastAsia="en-GB"/>
    </w:rPr>
  </w:style>
  <w:style w:type="character" w:customStyle="1" w:styleId="Style1Char">
    <w:name w:val="Style1 Char"/>
    <w:basedOn w:val="paragraphChar"/>
    <w:link w:val="Style1"/>
    <w:uiPriority w:val="2"/>
    <w:rsid w:val="00243AF1"/>
    <w:rPr>
      <w:rFonts w:ascii="Arial" w:hAnsi="Arial" w:cs="Arial"/>
      <w:b/>
      <w:bCs/>
      <w:sz w:val="24"/>
      <w:szCs w:val="24"/>
      <w:lang w:eastAsia="en-GB"/>
    </w:rPr>
  </w:style>
  <w:style w:type="character" w:styleId="Hyperlink">
    <w:name w:val="Hyperlink"/>
    <w:basedOn w:val="DefaultParagraphFont"/>
    <w:uiPriority w:val="99"/>
    <w:semiHidden/>
    <w:unhideWhenUsed/>
    <w:rsid w:val="00B22E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445">
      <w:bodyDiv w:val="1"/>
      <w:marLeft w:val="0"/>
      <w:marRight w:val="0"/>
      <w:marTop w:val="0"/>
      <w:marBottom w:val="0"/>
      <w:divBdr>
        <w:top w:val="none" w:sz="0" w:space="0" w:color="auto"/>
        <w:left w:val="none" w:sz="0" w:space="0" w:color="auto"/>
        <w:bottom w:val="none" w:sz="0" w:space="0" w:color="auto"/>
        <w:right w:val="none" w:sz="0" w:space="0" w:color="auto"/>
      </w:divBdr>
    </w:div>
    <w:div w:id="33694381">
      <w:bodyDiv w:val="1"/>
      <w:marLeft w:val="0"/>
      <w:marRight w:val="0"/>
      <w:marTop w:val="0"/>
      <w:marBottom w:val="0"/>
      <w:divBdr>
        <w:top w:val="none" w:sz="0" w:space="0" w:color="auto"/>
        <w:left w:val="none" w:sz="0" w:space="0" w:color="auto"/>
        <w:bottom w:val="none" w:sz="0" w:space="0" w:color="auto"/>
        <w:right w:val="none" w:sz="0" w:space="0" w:color="auto"/>
      </w:divBdr>
    </w:div>
    <w:div w:id="112016546">
      <w:bodyDiv w:val="1"/>
      <w:marLeft w:val="0"/>
      <w:marRight w:val="0"/>
      <w:marTop w:val="0"/>
      <w:marBottom w:val="0"/>
      <w:divBdr>
        <w:top w:val="none" w:sz="0" w:space="0" w:color="auto"/>
        <w:left w:val="none" w:sz="0" w:space="0" w:color="auto"/>
        <w:bottom w:val="none" w:sz="0" w:space="0" w:color="auto"/>
        <w:right w:val="none" w:sz="0" w:space="0" w:color="auto"/>
      </w:divBdr>
    </w:div>
    <w:div w:id="159078170">
      <w:bodyDiv w:val="1"/>
      <w:marLeft w:val="0"/>
      <w:marRight w:val="0"/>
      <w:marTop w:val="0"/>
      <w:marBottom w:val="0"/>
      <w:divBdr>
        <w:top w:val="none" w:sz="0" w:space="0" w:color="auto"/>
        <w:left w:val="none" w:sz="0" w:space="0" w:color="auto"/>
        <w:bottom w:val="none" w:sz="0" w:space="0" w:color="auto"/>
        <w:right w:val="none" w:sz="0" w:space="0" w:color="auto"/>
      </w:divBdr>
    </w:div>
    <w:div w:id="164056186">
      <w:bodyDiv w:val="1"/>
      <w:marLeft w:val="0"/>
      <w:marRight w:val="0"/>
      <w:marTop w:val="0"/>
      <w:marBottom w:val="0"/>
      <w:divBdr>
        <w:top w:val="none" w:sz="0" w:space="0" w:color="auto"/>
        <w:left w:val="none" w:sz="0" w:space="0" w:color="auto"/>
        <w:bottom w:val="none" w:sz="0" w:space="0" w:color="auto"/>
        <w:right w:val="none" w:sz="0" w:space="0" w:color="auto"/>
      </w:divBdr>
    </w:div>
    <w:div w:id="182331075">
      <w:bodyDiv w:val="1"/>
      <w:marLeft w:val="0"/>
      <w:marRight w:val="0"/>
      <w:marTop w:val="0"/>
      <w:marBottom w:val="0"/>
      <w:divBdr>
        <w:top w:val="none" w:sz="0" w:space="0" w:color="auto"/>
        <w:left w:val="none" w:sz="0" w:space="0" w:color="auto"/>
        <w:bottom w:val="none" w:sz="0" w:space="0" w:color="auto"/>
        <w:right w:val="none" w:sz="0" w:space="0" w:color="auto"/>
      </w:divBdr>
    </w:div>
    <w:div w:id="189875974">
      <w:bodyDiv w:val="1"/>
      <w:marLeft w:val="0"/>
      <w:marRight w:val="0"/>
      <w:marTop w:val="0"/>
      <w:marBottom w:val="0"/>
      <w:divBdr>
        <w:top w:val="none" w:sz="0" w:space="0" w:color="auto"/>
        <w:left w:val="none" w:sz="0" w:space="0" w:color="auto"/>
        <w:bottom w:val="none" w:sz="0" w:space="0" w:color="auto"/>
        <w:right w:val="none" w:sz="0" w:space="0" w:color="auto"/>
      </w:divBdr>
    </w:div>
    <w:div w:id="386339150">
      <w:bodyDiv w:val="1"/>
      <w:marLeft w:val="0"/>
      <w:marRight w:val="0"/>
      <w:marTop w:val="0"/>
      <w:marBottom w:val="0"/>
      <w:divBdr>
        <w:top w:val="none" w:sz="0" w:space="0" w:color="auto"/>
        <w:left w:val="none" w:sz="0" w:space="0" w:color="auto"/>
        <w:bottom w:val="none" w:sz="0" w:space="0" w:color="auto"/>
        <w:right w:val="none" w:sz="0" w:space="0" w:color="auto"/>
      </w:divBdr>
    </w:div>
    <w:div w:id="386882572">
      <w:bodyDiv w:val="1"/>
      <w:marLeft w:val="0"/>
      <w:marRight w:val="0"/>
      <w:marTop w:val="0"/>
      <w:marBottom w:val="0"/>
      <w:divBdr>
        <w:top w:val="none" w:sz="0" w:space="0" w:color="auto"/>
        <w:left w:val="none" w:sz="0" w:space="0" w:color="auto"/>
        <w:bottom w:val="none" w:sz="0" w:space="0" w:color="auto"/>
        <w:right w:val="none" w:sz="0" w:space="0" w:color="auto"/>
      </w:divBdr>
    </w:div>
    <w:div w:id="457603128">
      <w:bodyDiv w:val="1"/>
      <w:marLeft w:val="0"/>
      <w:marRight w:val="0"/>
      <w:marTop w:val="0"/>
      <w:marBottom w:val="0"/>
      <w:divBdr>
        <w:top w:val="none" w:sz="0" w:space="0" w:color="auto"/>
        <w:left w:val="none" w:sz="0" w:space="0" w:color="auto"/>
        <w:bottom w:val="none" w:sz="0" w:space="0" w:color="auto"/>
        <w:right w:val="none" w:sz="0" w:space="0" w:color="auto"/>
      </w:divBdr>
    </w:div>
    <w:div w:id="468785986">
      <w:bodyDiv w:val="1"/>
      <w:marLeft w:val="0"/>
      <w:marRight w:val="0"/>
      <w:marTop w:val="0"/>
      <w:marBottom w:val="0"/>
      <w:divBdr>
        <w:top w:val="none" w:sz="0" w:space="0" w:color="auto"/>
        <w:left w:val="none" w:sz="0" w:space="0" w:color="auto"/>
        <w:bottom w:val="none" w:sz="0" w:space="0" w:color="auto"/>
        <w:right w:val="none" w:sz="0" w:space="0" w:color="auto"/>
      </w:divBdr>
    </w:div>
    <w:div w:id="527568811">
      <w:bodyDiv w:val="1"/>
      <w:marLeft w:val="0"/>
      <w:marRight w:val="0"/>
      <w:marTop w:val="0"/>
      <w:marBottom w:val="0"/>
      <w:divBdr>
        <w:top w:val="none" w:sz="0" w:space="0" w:color="auto"/>
        <w:left w:val="none" w:sz="0" w:space="0" w:color="auto"/>
        <w:bottom w:val="none" w:sz="0" w:space="0" w:color="auto"/>
        <w:right w:val="none" w:sz="0" w:space="0" w:color="auto"/>
      </w:divBdr>
    </w:div>
    <w:div w:id="912200547">
      <w:bodyDiv w:val="1"/>
      <w:marLeft w:val="0"/>
      <w:marRight w:val="0"/>
      <w:marTop w:val="0"/>
      <w:marBottom w:val="0"/>
      <w:divBdr>
        <w:top w:val="none" w:sz="0" w:space="0" w:color="auto"/>
        <w:left w:val="none" w:sz="0" w:space="0" w:color="auto"/>
        <w:bottom w:val="none" w:sz="0" w:space="0" w:color="auto"/>
        <w:right w:val="none" w:sz="0" w:space="0" w:color="auto"/>
      </w:divBdr>
    </w:div>
    <w:div w:id="1047532933">
      <w:bodyDiv w:val="1"/>
      <w:marLeft w:val="0"/>
      <w:marRight w:val="0"/>
      <w:marTop w:val="0"/>
      <w:marBottom w:val="0"/>
      <w:divBdr>
        <w:top w:val="none" w:sz="0" w:space="0" w:color="auto"/>
        <w:left w:val="none" w:sz="0" w:space="0" w:color="auto"/>
        <w:bottom w:val="none" w:sz="0" w:space="0" w:color="auto"/>
        <w:right w:val="none" w:sz="0" w:space="0" w:color="auto"/>
      </w:divBdr>
    </w:div>
    <w:div w:id="1168638693">
      <w:bodyDiv w:val="1"/>
      <w:marLeft w:val="0"/>
      <w:marRight w:val="0"/>
      <w:marTop w:val="0"/>
      <w:marBottom w:val="0"/>
      <w:divBdr>
        <w:top w:val="none" w:sz="0" w:space="0" w:color="auto"/>
        <w:left w:val="none" w:sz="0" w:space="0" w:color="auto"/>
        <w:bottom w:val="none" w:sz="0" w:space="0" w:color="auto"/>
        <w:right w:val="none" w:sz="0" w:space="0" w:color="auto"/>
      </w:divBdr>
    </w:div>
    <w:div w:id="1382435861">
      <w:bodyDiv w:val="1"/>
      <w:marLeft w:val="0"/>
      <w:marRight w:val="0"/>
      <w:marTop w:val="0"/>
      <w:marBottom w:val="0"/>
      <w:divBdr>
        <w:top w:val="none" w:sz="0" w:space="0" w:color="auto"/>
        <w:left w:val="none" w:sz="0" w:space="0" w:color="auto"/>
        <w:bottom w:val="none" w:sz="0" w:space="0" w:color="auto"/>
        <w:right w:val="none" w:sz="0" w:space="0" w:color="auto"/>
      </w:divBdr>
    </w:div>
    <w:div w:id="1439982098">
      <w:bodyDiv w:val="1"/>
      <w:marLeft w:val="0"/>
      <w:marRight w:val="0"/>
      <w:marTop w:val="0"/>
      <w:marBottom w:val="0"/>
      <w:divBdr>
        <w:top w:val="none" w:sz="0" w:space="0" w:color="auto"/>
        <w:left w:val="none" w:sz="0" w:space="0" w:color="auto"/>
        <w:bottom w:val="none" w:sz="0" w:space="0" w:color="auto"/>
        <w:right w:val="none" w:sz="0" w:space="0" w:color="auto"/>
      </w:divBdr>
    </w:div>
    <w:div w:id="1469936515">
      <w:bodyDiv w:val="1"/>
      <w:marLeft w:val="0"/>
      <w:marRight w:val="0"/>
      <w:marTop w:val="0"/>
      <w:marBottom w:val="0"/>
      <w:divBdr>
        <w:top w:val="none" w:sz="0" w:space="0" w:color="auto"/>
        <w:left w:val="none" w:sz="0" w:space="0" w:color="auto"/>
        <w:bottom w:val="none" w:sz="0" w:space="0" w:color="auto"/>
        <w:right w:val="none" w:sz="0" w:space="0" w:color="auto"/>
      </w:divBdr>
    </w:div>
    <w:div w:id="1483306820">
      <w:bodyDiv w:val="1"/>
      <w:marLeft w:val="0"/>
      <w:marRight w:val="0"/>
      <w:marTop w:val="0"/>
      <w:marBottom w:val="0"/>
      <w:divBdr>
        <w:top w:val="none" w:sz="0" w:space="0" w:color="auto"/>
        <w:left w:val="none" w:sz="0" w:space="0" w:color="auto"/>
        <w:bottom w:val="none" w:sz="0" w:space="0" w:color="auto"/>
        <w:right w:val="none" w:sz="0" w:space="0" w:color="auto"/>
      </w:divBdr>
    </w:div>
    <w:div w:id="1594584817">
      <w:bodyDiv w:val="1"/>
      <w:marLeft w:val="0"/>
      <w:marRight w:val="0"/>
      <w:marTop w:val="0"/>
      <w:marBottom w:val="0"/>
      <w:divBdr>
        <w:top w:val="none" w:sz="0" w:space="0" w:color="auto"/>
        <w:left w:val="none" w:sz="0" w:space="0" w:color="auto"/>
        <w:bottom w:val="none" w:sz="0" w:space="0" w:color="auto"/>
        <w:right w:val="none" w:sz="0" w:space="0" w:color="auto"/>
      </w:divBdr>
    </w:div>
    <w:div w:id="1611666417">
      <w:bodyDiv w:val="1"/>
      <w:marLeft w:val="0"/>
      <w:marRight w:val="0"/>
      <w:marTop w:val="0"/>
      <w:marBottom w:val="0"/>
      <w:divBdr>
        <w:top w:val="none" w:sz="0" w:space="0" w:color="auto"/>
        <w:left w:val="none" w:sz="0" w:space="0" w:color="auto"/>
        <w:bottom w:val="none" w:sz="0" w:space="0" w:color="auto"/>
        <w:right w:val="none" w:sz="0" w:space="0" w:color="auto"/>
      </w:divBdr>
    </w:div>
    <w:div w:id="1699889478">
      <w:bodyDiv w:val="1"/>
      <w:marLeft w:val="0"/>
      <w:marRight w:val="0"/>
      <w:marTop w:val="0"/>
      <w:marBottom w:val="0"/>
      <w:divBdr>
        <w:top w:val="none" w:sz="0" w:space="0" w:color="auto"/>
        <w:left w:val="none" w:sz="0" w:space="0" w:color="auto"/>
        <w:bottom w:val="none" w:sz="0" w:space="0" w:color="auto"/>
        <w:right w:val="none" w:sz="0" w:space="0" w:color="auto"/>
      </w:divBdr>
    </w:div>
    <w:div w:id="1763408606">
      <w:bodyDiv w:val="1"/>
      <w:marLeft w:val="0"/>
      <w:marRight w:val="0"/>
      <w:marTop w:val="0"/>
      <w:marBottom w:val="0"/>
      <w:divBdr>
        <w:top w:val="none" w:sz="0" w:space="0" w:color="auto"/>
        <w:left w:val="none" w:sz="0" w:space="0" w:color="auto"/>
        <w:bottom w:val="none" w:sz="0" w:space="0" w:color="auto"/>
        <w:right w:val="none" w:sz="0" w:space="0" w:color="auto"/>
      </w:divBdr>
    </w:div>
    <w:div w:id="1804809505">
      <w:bodyDiv w:val="1"/>
      <w:marLeft w:val="0"/>
      <w:marRight w:val="0"/>
      <w:marTop w:val="0"/>
      <w:marBottom w:val="0"/>
      <w:divBdr>
        <w:top w:val="none" w:sz="0" w:space="0" w:color="auto"/>
        <w:left w:val="none" w:sz="0" w:space="0" w:color="auto"/>
        <w:bottom w:val="none" w:sz="0" w:space="0" w:color="auto"/>
        <w:right w:val="none" w:sz="0" w:space="0" w:color="auto"/>
      </w:divBdr>
    </w:div>
    <w:div w:id="1944653504">
      <w:bodyDiv w:val="1"/>
      <w:marLeft w:val="0"/>
      <w:marRight w:val="0"/>
      <w:marTop w:val="0"/>
      <w:marBottom w:val="0"/>
      <w:divBdr>
        <w:top w:val="none" w:sz="0" w:space="0" w:color="auto"/>
        <w:left w:val="none" w:sz="0" w:space="0" w:color="auto"/>
        <w:bottom w:val="none" w:sz="0" w:space="0" w:color="auto"/>
        <w:right w:val="none" w:sz="0" w:space="0" w:color="auto"/>
      </w:divBdr>
    </w:div>
    <w:div w:id="1976522452">
      <w:bodyDiv w:val="1"/>
      <w:marLeft w:val="0"/>
      <w:marRight w:val="0"/>
      <w:marTop w:val="0"/>
      <w:marBottom w:val="0"/>
      <w:divBdr>
        <w:top w:val="none" w:sz="0" w:space="0" w:color="auto"/>
        <w:left w:val="none" w:sz="0" w:space="0" w:color="auto"/>
        <w:bottom w:val="none" w:sz="0" w:space="0" w:color="auto"/>
        <w:right w:val="none" w:sz="0" w:space="0" w:color="auto"/>
      </w:divBdr>
      <w:divsChild>
        <w:div w:id="1279608699">
          <w:marLeft w:val="0"/>
          <w:marRight w:val="0"/>
          <w:marTop w:val="0"/>
          <w:marBottom w:val="0"/>
          <w:divBdr>
            <w:top w:val="none" w:sz="0" w:space="0" w:color="auto"/>
            <w:left w:val="none" w:sz="0" w:space="0" w:color="auto"/>
            <w:bottom w:val="none" w:sz="0" w:space="0" w:color="auto"/>
            <w:right w:val="none" w:sz="0" w:space="0" w:color="auto"/>
          </w:divBdr>
        </w:div>
        <w:div w:id="1465542563">
          <w:marLeft w:val="0"/>
          <w:marRight w:val="0"/>
          <w:marTop w:val="0"/>
          <w:marBottom w:val="0"/>
          <w:divBdr>
            <w:top w:val="none" w:sz="0" w:space="0" w:color="auto"/>
            <w:left w:val="none" w:sz="0" w:space="0" w:color="auto"/>
            <w:bottom w:val="none" w:sz="0" w:space="0" w:color="auto"/>
            <w:right w:val="none" w:sz="0" w:space="0" w:color="auto"/>
          </w:divBdr>
        </w:div>
        <w:div w:id="1838303442">
          <w:marLeft w:val="0"/>
          <w:marRight w:val="0"/>
          <w:marTop w:val="0"/>
          <w:marBottom w:val="0"/>
          <w:divBdr>
            <w:top w:val="none" w:sz="0" w:space="0" w:color="auto"/>
            <w:left w:val="none" w:sz="0" w:space="0" w:color="auto"/>
            <w:bottom w:val="none" w:sz="0" w:space="0" w:color="auto"/>
            <w:right w:val="none" w:sz="0" w:space="0" w:color="auto"/>
          </w:divBdr>
        </w:div>
      </w:divsChild>
    </w:div>
    <w:div w:id="2009359888">
      <w:bodyDiv w:val="1"/>
      <w:marLeft w:val="0"/>
      <w:marRight w:val="0"/>
      <w:marTop w:val="0"/>
      <w:marBottom w:val="0"/>
      <w:divBdr>
        <w:top w:val="none" w:sz="0" w:space="0" w:color="auto"/>
        <w:left w:val="none" w:sz="0" w:space="0" w:color="auto"/>
        <w:bottom w:val="none" w:sz="0" w:space="0" w:color="auto"/>
        <w:right w:val="none" w:sz="0" w:space="0" w:color="auto"/>
      </w:divBdr>
    </w:div>
    <w:div w:id="2013026033">
      <w:bodyDiv w:val="1"/>
      <w:marLeft w:val="0"/>
      <w:marRight w:val="0"/>
      <w:marTop w:val="0"/>
      <w:marBottom w:val="0"/>
      <w:divBdr>
        <w:top w:val="none" w:sz="0" w:space="0" w:color="auto"/>
        <w:left w:val="none" w:sz="0" w:space="0" w:color="auto"/>
        <w:bottom w:val="none" w:sz="0" w:space="0" w:color="auto"/>
        <w:right w:val="none" w:sz="0" w:space="0" w:color="auto"/>
      </w:divBdr>
    </w:div>
    <w:div w:id="2014911749">
      <w:bodyDiv w:val="1"/>
      <w:marLeft w:val="0"/>
      <w:marRight w:val="0"/>
      <w:marTop w:val="0"/>
      <w:marBottom w:val="0"/>
      <w:divBdr>
        <w:top w:val="none" w:sz="0" w:space="0" w:color="auto"/>
        <w:left w:val="none" w:sz="0" w:space="0" w:color="auto"/>
        <w:bottom w:val="none" w:sz="0" w:space="0" w:color="auto"/>
        <w:right w:val="none" w:sz="0" w:space="0" w:color="auto"/>
      </w:divBdr>
    </w:div>
    <w:div w:id="2031027759">
      <w:bodyDiv w:val="1"/>
      <w:marLeft w:val="0"/>
      <w:marRight w:val="0"/>
      <w:marTop w:val="0"/>
      <w:marBottom w:val="0"/>
      <w:divBdr>
        <w:top w:val="none" w:sz="0" w:space="0" w:color="auto"/>
        <w:left w:val="none" w:sz="0" w:space="0" w:color="auto"/>
        <w:bottom w:val="none" w:sz="0" w:space="0" w:color="auto"/>
        <w:right w:val="none" w:sz="0" w:space="0" w:color="auto"/>
      </w:divBdr>
    </w:div>
    <w:div w:id="2062825933">
      <w:bodyDiv w:val="1"/>
      <w:marLeft w:val="0"/>
      <w:marRight w:val="0"/>
      <w:marTop w:val="0"/>
      <w:marBottom w:val="0"/>
      <w:divBdr>
        <w:top w:val="none" w:sz="0" w:space="0" w:color="auto"/>
        <w:left w:val="none" w:sz="0" w:space="0" w:color="auto"/>
        <w:bottom w:val="none" w:sz="0" w:space="0" w:color="auto"/>
        <w:right w:val="none" w:sz="0" w:space="0" w:color="auto"/>
      </w:divBdr>
    </w:div>
    <w:div w:id="2064987443">
      <w:bodyDiv w:val="1"/>
      <w:marLeft w:val="0"/>
      <w:marRight w:val="0"/>
      <w:marTop w:val="0"/>
      <w:marBottom w:val="0"/>
      <w:divBdr>
        <w:top w:val="none" w:sz="0" w:space="0" w:color="auto"/>
        <w:left w:val="none" w:sz="0" w:space="0" w:color="auto"/>
        <w:bottom w:val="none" w:sz="0" w:space="0" w:color="auto"/>
        <w:right w:val="none" w:sz="0" w:space="0" w:color="auto"/>
      </w:divBdr>
    </w:div>
    <w:div w:id="2087922097">
      <w:bodyDiv w:val="1"/>
      <w:marLeft w:val="0"/>
      <w:marRight w:val="0"/>
      <w:marTop w:val="0"/>
      <w:marBottom w:val="0"/>
      <w:divBdr>
        <w:top w:val="none" w:sz="0" w:space="0" w:color="auto"/>
        <w:left w:val="none" w:sz="0" w:space="0" w:color="auto"/>
        <w:bottom w:val="none" w:sz="0" w:space="0" w:color="auto"/>
        <w:right w:val="none" w:sz="0" w:space="0" w:color="auto"/>
      </w:divBdr>
    </w:div>
    <w:div w:id="2122187656">
      <w:bodyDiv w:val="1"/>
      <w:marLeft w:val="0"/>
      <w:marRight w:val="0"/>
      <w:marTop w:val="0"/>
      <w:marBottom w:val="0"/>
      <w:divBdr>
        <w:top w:val="none" w:sz="0" w:space="0" w:color="auto"/>
        <w:left w:val="none" w:sz="0" w:space="0" w:color="auto"/>
        <w:bottom w:val="none" w:sz="0" w:space="0" w:color="auto"/>
        <w:right w:val="none" w:sz="0" w:space="0" w:color="auto"/>
      </w:divBdr>
    </w:div>
    <w:div w:id="2129396127">
      <w:bodyDiv w:val="1"/>
      <w:marLeft w:val="0"/>
      <w:marRight w:val="0"/>
      <w:marTop w:val="0"/>
      <w:marBottom w:val="0"/>
      <w:divBdr>
        <w:top w:val="none" w:sz="0" w:space="0" w:color="auto"/>
        <w:left w:val="none" w:sz="0" w:space="0" w:color="auto"/>
        <w:bottom w:val="none" w:sz="0" w:space="0" w:color="auto"/>
        <w:right w:val="none" w:sz="0" w:space="0" w:color="auto"/>
      </w:divBdr>
    </w:div>
    <w:div w:id="21473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gintranet/documents/s191371/Annex%20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ase-studies/lancashire-county-council-co2e-assessment-and-reduction-carriageway-resurfac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ocal.gov.uk/case-studies/lancashire-county-council-low-carbon-street-light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54C5B4747D346B163AB215D02C3D0" ma:contentTypeVersion="4" ma:contentTypeDescription="Create a new document." ma:contentTypeScope="" ma:versionID="a10eb7bba7b80af4a91fa95c594a73c2">
  <xsd:schema xmlns:xsd="http://www.w3.org/2001/XMLSchema" xmlns:xs="http://www.w3.org/2001/XMLSchema" xmlns:p="http://schemas.microsoft.com/office/2006/metadata/properties" xmlns:ns2="751f2a81-ccb8-4951-85d4-6a94b9f6e8fa" targetNamespace="http://schemas.microsoft.com/office/2006/metadata/properties" ma:root="true" ma:fieldsID="0908a4ca2e21b06d32a80f963f7acb11" ns2:_="">
    <xsd:import namespace="751f2a81-ccb8-4951-85d4-6a94b9f6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f2a81-ccb8-4951-85d4-6a94b9f6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C56F-0CC5-4402-A251-B740F05EF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f2a81-ccb8-4951-85d4-6a94b9f6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7FCD6-55D7-45C6-861D-10ED13B4F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75746-E530-476D-8D7F-44AA987CC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7850</Words>
  <Characters>44750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52496</CharactersWithSpaces>
  <SharedDoc>false</SharedDoc>
  <HLinks>
    <vt:vector size="18" baseType="variant">
      <vt:variant>
        <vt:i4>2949217</vt:i4>
      </vt:variant>
      <vt:variant>
        <vt:i4>6</vt:i4>
      </vt:variant>
      <vt:variant>
        <vt:i4>0</vt:i4>
      </vt:variant>
      <vt:variant>
        <vt:i4>5</vt:i4>
      </vt:variant>
      <vt:variant>
        <vt:lpwstr>http://mgintranet/documents/s191371/Annex 1.pdf</vt:lpwstr>
      </vt:variant>
      <vt:variant>
        <vt:lpwstr/>
      </vt:variant>
      <vt:variant>
        <vt:i4>5374032</vt:i4>
      </vt:variant>
      <vt:variant>
        <vt:i4>3</vt:i4>
      </vt:variant>
      <vt:variant>
        <vt:i4>0</vt:i4>
      </vt:variant>
      <vt:variant>
        <vt:i4>5</vt:i4>
      </vt:variant>
      <vt:variant>
        <vt:lpwstr>https://www.local.gov.uk/case-studies/lancashire-county-council-co2e-assessment-and-reduction-carriageway-resurfacing</vt:lpwstr>
      </vt:variant>
      <vt:variant>
        <vt:lpwstr/>
      </vt:variant>
      <vt:variant>
        <vt:i4>3866745</vt:i4>
      </vt:variant>
      <vt:variant>
        <vt:i4>0</vt:i4>
      </vt:variant>
      <vt:variant>
        <vt:i4>0</vt:i4>
      </vt:variant>
      <vt:variant>
        <vt:i4>5</vt:i4>
      </vt:variant>
      <vt:variant>
        <vt:lpwstr>https://www.local.gov.uk/case-studies/lancashire-county-council-low-carbon-street-lighting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Steven</dc:creator>
  <cp:keywords/>
  <dc:description/>
  <cp:lastModifiedBy>Mansfield, Joanne</cp:lastModifiedBy>
  <cp:revision>8</cp:revision>
  <dcterms:created xsi:type="dcterms:W3CDTF">2022-03-07T12:34:00Z</dcterms:created>
  <dcterms:modified xsi:type="dcterms:W3CDTF">2022-03-11T11:35:00Z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0x010100C7E54C5B4747D346B163AB215D02C3D0</vt:lpwstr>
  </property>
</Properties>
</file>